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D" w:rsidRDefault="0003183D" w:rsidP="0003183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</w:pPr>
      <w:r w:rsidRPr="0003183D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Итоги работы Фонда </w:t>
      </w:r>
      <w:r w:rsidR="001D10F2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развития малого и среднего предпринимательства Новосибирской области </w:t>
      </w:r>
      <w:r w:rsidR="00B64E61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за </w:t>
      </w:r>
      <w:r w:rsidR="001F2A33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>9</w:t>
      </w:r>
      <w:r w:rsidR="00B64E61" w:rsidRPr="00B64E61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 </w:t>
      </w:r>
      <w:r w:rsidR="001F2A33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>месяцев</w:t>
      </w:r>
      <w:r w:rsidR="002E1C30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 2014</w:t>
      </w:r>
      <w:r w:rsidRPr="0003183D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 год</w:t>
      </w:r>
      <w:r w:rsidR="00B64E61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>а</w:t>
      </w:r>
      <w:r w:rsidRPr="0003183D"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  <w:t xml:space="preserve"> </w:t>
      </w:r>
    </w:p>
    <w:p w:rsidR="00C14B18" w:rsidRDefault="00C14B18" w:rsidP="00C14B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</w:pPr>
    </w:p>
    <w:p w:rsidR="00C14B18" w:rsidRDefault="00C14B18" w:rsidP="00C14B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A7737"/>
          <w:sz w:val="28"/>
          <w:szCs w:val="28"/>
          <w:lang w:eastAsia="ru-RU"/>
        </w:rPr>
      </w:pPr>
    </w:p>
    <w:p w:rsidR="00DB5D8E" w:rsidRDefault="00005B99" w:rsidP="00C40BF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4B18">
        <w:rPr>
          <w:rFonts w:ascii="Times New Roman" w:hAnsi="Times New Roman"/>
          <w:sz w:val="28"/>
          <w:szCs w:val="28"/>
        </w:rPr>
        <w:t>За</w:t>
      </w:r>
      <w:r w:rsidR="00AC3F94" w:rsidRPr="00C14B18">
        <w:rPr>
          <w:rFonts w:ascii="Times New Roman" w:hAnsi="Times New Roman"/>
          <w:sz w:val="28"/>
          <w:szCs w:val="28"/>
        </w:rPr>
        <w:t xml:space="preserve"> </w:t>
      </w:r>
      <w:r w:rsidR="001F2A33" w:rsidRPr="00C14B18">
        <w:rPr>
          <w:rFonts w:ascii="Times New Roman" w:hAnsi="Times New Roman"/>
          <w:sz w:val="28"/>
          <w:szCs w:val="28"/>
        </w:rPr>
        <w:t>9 месяцев</w:t>
      </w:r>
      <w:r w:rsidR="00BC3536" w:rsidRPr="00C14B18">
        <w:rPr>
          <w:rFonts w:ascii="Times New Roman" w:hAnsi="Times New Roman"/>
          <w:sz w:val="28"/>
          <w:szCs w:val="28"/>
        </w:rPr>
        <w:t xml:space="preserve"> 201</w:t>
      </w:r>
      <w:r w:rsidR="002E1C30">
        <w:rPr>
          <w:rFonts w:ascii="Times New Roman" w:hAnsi="Times New Roman"/>
          <w:sz w:val="28"/>
          <w:szCs w:val="28"/>
        </w:rPr>
        <w:t>4</w:t>
      </w:r>
      <w:r w:rsidR="00BC3536" w:rsidRPr="00C14B18">
        <w:rPr>
          <w:rFonts w:ascii="Times New Roman" w:hAnsi="Times New Roman"/>
          <w:sz w:val="28"/>
          <w:szCs w:val="28"/>
        </w:rPr>
        <w:t xml:space="preserve"> года</w:t>
      </w:r>
      <w:r w:rsidR="00BC3536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75C68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Фондом было предоставлено </w:t>
      </w:r>
      <w:r w:rsidR="00BC3536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</w:t>
      </w:r>
      <w:r w:rsidR="002E1C30">
        <w:rPr>
          <w:rFonts w:ascii="Times New Roman" w:hAnsi="Times New Roman"/>
          <w:noProof/>
          <w:sz w:val="28"/>
          <w:szCs w:val="28"/>
          <w:lang w:eastAsia="ru-RU"/>
        </w:rPr>
        <w:t>94</w:t>
      </w:r>
      <w:r w:rsidR="00D75C68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поручительств</w:t>
      </w:r>
      <w:r w:rsidR="002E1C30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D75C68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, объём поручительств составил </w:t>
      </w:r>
      <w:r w:rsidR="002E1C30">
        <w:rPr>
          <w:rFonts w:ascii="Times New Roman" w:hAnsi="Times New Roman"/>
          <w:noProof/>
          <w:sz w:val="28"/>
          <w:szCs w:val="28"/>
          <w:lang w:eastAsia="ru-RU"/>
        </w:rPr>
        <w:t>317,2</w:t>
      </w:r>
      <w:r w:rsidR="00F84571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млн</w:t>
      </w:r>
      <w:r w:rsidR="00BC3536" w:rsidRPr="00C14B1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D75C68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рублей, </w:t>
      </w:r>
      <w:r w:rsidR="004B5F90">
        <w:rPr>
          <w:rFonts w:ascii="Times New Roman" w:hAnsi="Times New Roman"/>
          <w:noProof/>
          <w:sz w:val="28"/>
          <w:szCs w:val="28"/>
          <w:lang w:eastAsia="ru-RU"/>
        </w:rPr>
        <w:t>общая сумма обязательств</w:t>
      </w:r>
      <w:r w:rsidR="005C4462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="004B5F90">
        <w:rPr>
          <w:rFonts w:ascii="Times New Roman" w:hAnsi="Times New Roman"/>
          <w:noProof/>
          <w:sz w:val="28"/>
          <w:szCs w:val="28"/>
          <w:lang w:eastAsia="ru-RU"/>
        </w:rPr>
        <w:t xml:space="preserve">кредитов, </w:t>
      </w:r>
      <w:r w:rsidR="005C4462" w:rsidRPr="00C14B18">
        <w:rPr>
          <w:rFonts w:ascii="Times New Roman" w:hAnsi="Times New Roman"/>
          <w:noProof/>
          <w:sz w:val="28"/>
          <w:szCs w:val="28"/>
          <w:lang w:eastAsia="ru-RU"/>
        </w:rPr>
        <w:t>банковских гарантий</w:t>
      </w:r>
      <w:r w:rsidR="004B5F90">
        <w:rPr>
          <w:rFonts w:ascii="Times New Roman" w:hAnsi="Times New Roman"/>
          <w:noProof/>
          <w:sz w:val="28"/>
          <w:szCs w:val="28"/>
          <w:lang w:eastAsia="ru-RU"/>
        </w:rPr>
        <w:t>, финансовой аренды</w:t>
      </w:r>
      <w:r w:rsidR="00432367">
        <w:rPr>
          <w:rFonts w:ascii="Times New Roman" w:hAnsi="Times New Roman"/>
          <w:noProof/>
          <w:sz w:val="28"/>
          <w:szCs w:val="28"/>
          <w:lang w:eastAsia="ru-RU"/>
        </w:rPr>
        <w:t xml:space="preserve"> (лизинга</w:t>
      </w:r>
      <w:r w:rsidR="005C4462" w:rsidRPr="00C14B18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="005C2A92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="004B5F90">
        <w:rPr>
          <w:rFonts w:ascii="Times New Roman" w:hAnsi="Times New Roman"/>
          <w:noProof/>
          <w:sz w:val="28"/>
          <w:szCs w:val="28"/>
          <w:lang w:eastAsia="ru-RU"/>
        </w:rPr>
        <w:t>, выданных финансовыми организациями - партнёрами</w:t>
      </w:r>
      <w:r w:rsidR="00295AE6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под поручительства Фонда, составила </w:t>
      </w:r>
      <w:r w:rsidR="00432367">
        <w:rPr>
          <w:rFonts w:ascii="Times New Roman" w:hAnsi="Times New Roman"/>
          <w:noProof/>
          <w:sz w:val="28"/>
          <w:szCs w:val="28"/>
          <w:lang w:eastAsia="ru-RU"/>
        </w:rPr>
        <w:t>714,9</w:t>
      </w:r>
      <w:r w:rsidR="00F84571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млн. рублей</w:t>
      </w:r>
      <w:r w:rsidR="00D75C68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03183D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в том числе:</w:t>
      </w:r>
    </w:p>
    <w:p w:rsidR="00C14B18" w:rsidRDefault="00C14B18" w:rsidP="00C14B1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14B18" w:rsidRDefault="00C14B18" w:rsidP="00C14B1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2893"/>
        <w:gridCol w:w="1276"/>
        <w:gridCol w:w="2410"/>
        <w:gridCol w:w="2410"/>
      </w:tblGrid>
      <w:tr w:rsidR="00496F91" w:rsidRPr="00553C76" w:rsidTr="00E961F9">
        <w:tc>
          <w:tcPr>
            <w:tcW w:w="617" w:type="dxa"/>
          </w:tcPr>
          <w:p w:rsidR="00496F91" w:rsidRPr="00F43F7C" w:rsidRDefault="00496F91" w:rsidP="00D75C6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43F7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3" w:type="dxa"/>
          </w:tcPr>
          <w:p w:rsidR="00496F91" w:rsidRPr="00C14B18" w:rsidRDefault="00496F91" w:rsidP="000224F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14B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</w:t>
            </w:r>
            <w:r w:rsidR="000224F0" w:rsidRPr="00C14B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именование</w:t>
            </w:r>
            <w:r w:rsidR="00DD2CB6" w:rsidRPr="00C14B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финансовой организации</w:t>
            </w:r>
          </w:p>
        </w:tc>
        <w:tc>
          <w:tcPr>
            <w:tcW w:w="1276" w:type="dxa"/>
          </w:tcPr>
          <w:p w:rsidR="00496F91" w:rsidRPr="00C14B18" w:rsidRDefault="00496F91" w:rsidP="00E96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</w:t>
            </w:r>
            <w:r w:rsidR="00E961F9"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поручите</w:t>
            </w:r>
            <w:r w:rsidR="00270D42"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</w:t>
            </w:r>
            <w:r w:rsidR="00E961F9"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</w:t>
            </w:r>
          </w:p>
        </w:tc>
        <w:tc>
          <w:tcPr>
            <w:tcW w:w="2410" w:type="dxa"/>
          </w:tcPr>
          <w:p w:rsidR="00496F91" w:rsidRPr="00C14B18" w:rsidRDefault="00496F91" w:rsidP="00D7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F7D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Сумма </w:t>
            </w:r>
            <w:r w:rsidR="006E6BC5" w:rsidRPr="000F7D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предоставленных </w:t>
            </w:r>
            <w:r w:rsidRPr="000F7D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поручительств</w:t>
            </w:r>
            <w:r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млн. руб.</w:t>
            </w:r>
          </w:p>
        </w:tc>
        <w:tc>
          <w:tcPr>
            <w:tcW w:w="2410" w:type="dxa"/>
          </w:tcPr>
          <w:p w:rsidR="00496F91" w:rsidRPr="00C14B18" w:rsidRDefault="00CB2F53" w:rsidP="00CB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финансовых обязательств </w:t>
            </w:r>
            <w:r w:rsidR="00496F91"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выданным </w:t>
            </w:r>
            <w:r w:rsidR="00496F91" w:rsidRPr="000F7D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поручительствам</w:t>
            </w:r>
            <w:r w:rsidR="00496F91" w:rsidRPr="00C14B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млн. руб.</w:t>
            </w:r>
          </w:p>
        </w:tc>
      </w:tr>
      <w:tr w:rsidR="000D1148" w:rsidRPr="00553C76" w:rsidTr="00553C76">
        <w:trPr>
          <w:trHeight w:val="567"/>
        </w:trPr>
        <w:tc>
          <w:tcPr>
            <w:tcW w:w="617" w:type="dxa"/>
            <w:vAlign w:val="center"/>
          </w:tcPr>
          <w:p w:rsidR="000D1148" w:rsidRPr="00C14B18" w:rsidRDefault="000D1148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14B1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vAlign w:val="center"/>
          </w:tcPr>
          <w:p w:rsidR="00C14B18" w:rsidRDefault="00C14B1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D1148" w:rsidRDefault="000D114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Сбербанк</w:t>
            </w:r>
          </w:p>
          <w:p w:rsidR="00C14B18" w:rsidRPr="00C14B18" w:rsidRDefault="00C14B1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1148" w:rsidRPr="00230EA0" w:rsidRDefault="002E1C30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vAlign w:val="center"/>
          </w:tcPr>
          <w:p w:rsidR="0030779B" w:rsidRPr="00C14B18" w:rsidRDefault="002E1C30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2410" w:type="dxa"/>
            <w:vAlign w:val="center"/>
          </w:tcPr>
          <w:p w:rsidR="0030779B" w:rsidRPr="00C14B18" w:rsidRDefault="002E1C30" w:rsidP="00553C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196,2</w:t>
            </w:r>
          </w:p>
        </w:tc>
      </w:tr>
      <w:tr w:rsidR="000D1148" w:rsidRPr="00553C76" w:rsidTr="00553C76">
        <w:trPr>
          <w:trHeight w:val="567"/>
        </w:trPr>
        <w:tc>
          <w:tcPr>
            <w:tcW w:w="617" w:type="dxa"/>
            <w:vAlign w:val="center"/>
          </w:tcPr>
          <w:p w:rsidR="000D1148" w:rsidRPr="00C14B18" w:rsidRDefault="000D1148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14B1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  <w:vAlign w:val="center"/>
          </w:tcPr>
          <w:p w:rsidR="00C14B18" w:rsidRDefault="00C14B1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D1148" w:rsidRDefault="000D114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Левобережный</w:t>
            </w:r>
          </w:p>
          <w:p w:rsidR="00C14B18" w:rsidRPr="00C14B18" w:rsidRDefault="00C14B18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1148" w:rsidRPr="00230EA0" w:rsidRDefault="002E1C30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30779B" w:rsidRPr="00C14B18" w:rsidRDefault="002E1C30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</w:p>
        </w:tc>
        <w:tc>
          <w:tcPr>
            <w:tcW w:w="2410" w:type="dxa"/>
            <w:vAlign w:val="center"/>
          </w:tcPr>
          <w:p w:rsidR="0030779B" w:rsidRPr="00C14B18" w:rsidRDefault="002E1C30" w:rsidP="00553C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A0378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Новосибирская лизинговая компания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14B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230EA0" w:rsidRPr="00553C76" w:rsidTr="00553C76">
        <w:trPr>
          <w:trHeight w:val="567"/>
        </w:trPr>
        <w:tc>
          <w:tcPr>
            <w:tcW w:w="617" w:type="dxa"/>
            <w:vAlign w:val="center"/>
          </w:tcPr>
          <w:p w:rsidR="00230EA0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3" w:type="dxa"/>
            <w:vAlign w:val="center"/>
          </w:tcPr>
          <w:p w:rsidR="00230EA0" w:rsidRDefault="00230EA0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30EA0" w:rsidRDefault="00230EA0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</w:t>
            </w:r>
          </w:p>
          <w:p w:rsidR="00230EA0" w:rsidRPr="00C14B18" w:rsidRDefault="00230EA0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EA0" w:rsidRPr="00230EA0" w:rsidRDefault="00230EA0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230EA0" w:rsidRPr="00C14B18" w:rsidRDefault="00230EA0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2410" w:type="dxa"/>
            <w:vAlign w:val="center"/>
          </w:tcPr>
          <w:p w:rsidR="00230EA0" w:rsidRPr="00C14B18" w:rsidRDefault="00230EA0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Россельхозбанк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23,2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ВТБ 24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82,2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Интеза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102,7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3" w:type="dxa"/>
            <w:vAlign w:val="center"/>
          </w:tcPr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Акцепт</w:t>
            </w:r>
          </w:p>
          <w:p w:rsidR="00502784" w:rsidRPr="00C14B18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005B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14B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410" w:type="dxa"/>
            <w:vAlign w:val="center"/>
          </w:tcPr>
          <w:p w:rsidR="00502784" w:rsidRPr="00C14B18" w:rsidRDefault="00432367" w:rsidP="00553C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50278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Банк Москвы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F968C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48,2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Запсибкомбанк</w:t>
            </w: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502784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Ланта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Промсвязьбанк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C14B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Инвестторгбанк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23,5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Металлинвестбанк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  <w:r w:rsidR="00F968C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93" w:type="dxa"/>
            <w:vAlign w:val="center"/>
          </w:tcPr>
          <w:p w:rsidR="00502784" w:rsidRPr="00C14B18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ЗЕНИТ</w:t>
            </w:r>
          </w:p>
        </w:tc>
        <w:tc>
          <w:tcPr>
            <w:tcW w:w="1276" w:type="dxa"/>
            <w:vAlign w:val="center"/>
          </w:tcPr>
          <w:p w:rsidR="00502784" w:rsidRPr="00230EA0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553C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РОСТ-БАНК</w:t>
            </w:r>
          </w:p>
          <w:p w:rsidR="00502784" w:rsidRPr="00C14B18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4,5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93" w:type="dxa"/>
            <w:vAlign w:val="center"/>
          </w:tcPr>
          <w:p w:rsidR="00502784" w:rsidRDefault="00502784" w:rsidP="007536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Алемар</w:t>
            </w:r>
          </w:p>
        </w:tc>
        <w:tc>
          <w:tcPr>
            <w:tcW w:w="1276" w:type="dxa"/>
            <w:vAlign w:val="center"/>
          </w:tcPr>
          <w:p w:rsidR="00502784" w:rsidRPr="00230EA0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02784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2410" w:type="dxa"/>
            <w:vAlign w:val="center"/>
          </w:tcPr>
          <w:p w:rsidR="00502784" w:rsidRDefault="00502784" w:rsidP="0075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93" w:type="dxa"/>
            <w:vAlign w:val="center"/>
          </w:tcPr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 БАРС</w:t>
            </w:r>
          </w:p>
          <w:p w:rsidR="00502784" w:rsidRPr="00C14B18" w:rsidRDefault="00502784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230EA0" w:rsidRDefault="00502784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30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553C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73BE" w:rsidRPr="00553C76" w:rsidTr="00553C76">
        <w:trPr>
          <w:trHeight w:val="567"/>
        </w:trPr>
        <w:tc>
          <w:tcPr>
            <w:tcW w:w="617" w:type="dxa"/>
            <w:vAlign w:val="center"/>
          </w:tcPr>
          <w:p w:rsidR="002D73BE" w:rsidRDefault="002D73BE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93" w:type="dxa"/>
            <w:vAlign w:val="center"/>
          </w:tcPr>
          <w:p w:rsidR="002D73BE" w:rsidRDefault="00506C0F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Татфондбанк</w:t>
            </w:r>
          </w:p>
        </w:tc>
        <w:tc>
          <w:tcPr>
            <w:tcW w:w="1276" w:type="dxa"/>
            <w:vAlign w:val="center"/>
          </w:tcPr>
          <w:p w:rsidR="002D73BE" w:rsidRPr="00230EA0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2D73BE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D73BE" w:rsidRDefault="00506C0F" w:rsidP="00553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6C0F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6C0F" w:rsidRDefault="00506C0F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93" w:type="dxa"/>
            <w:vAlign w:val="center"/>
          </w:tcPr>
          <w:p w:rsidR="00506C0F" w:rsidRDefault="00506C0F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Транскапиталбанк</w:t>
            </w:r>
          </w:p>
        </w:tc>
        <w:tc>
          <w:tcPr>
            <w:tcW w:w="1276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53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6C0F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6C0F" w:rsidRDefault="00506C0F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93" w:type="dxa"/>
            <w:vAlign w:val="center"/>
          </w:tcPr>
          <w:p w:rsidR="00506C0F" w:rsidRDefault="00506C0F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ГЛОБЭКСБАНК</w:t>
            </w:r>
          </w:p>
        </w:tc>
        <w:tc>
          <w:tcPr>
            <w:tcW w:w="1276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53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6C0F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6C0F" w:rsidRDefault="00506C0F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93" w:type="dxa"/>
            <w:vAlign w:val="center"/>
          </w:tcPr>
          <w:p w:rsidR="00506C0F" w:rsidRDefault="00506C0F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ОТП - Банк</w:t>
            </w:r>
          </w:p>
        </w:tc>
        <w:tc>
          <w:tcPr>
            <w:tcW w:w="1276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53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6C0F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6C0F" w:rsidRDefault="00506C0F" w:rsidP="003665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93" w:type="dxa"/>
            <w:vAlign w:val="center"/>
          </w:tcPr>
          <w:p w:rsidR="00506C0F" w:rsidRDefault="00506C0F" w:rsidP="00553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Внешпромбанк</w:t>
            </w:r>
          </w:p>
        </w:tc>
        <w:tc>
          <w:tcPr>
            <w:tcW w:w="1276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D1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506C0F" w:rsidRDefault="00506C0F" w:rsidP="00553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02784" w:rsidRPr="00553C76" w:rsidTr="00553C76">
        <w:trPr>
          <w:trHeight w:val="567"/>
        </w:trPr>
        <w:tc>
          <w:tcPr>
            <w:tcW w:w="617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Align w:val="center"/>
          </w:tcPr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02784" w:rsidRDefault="00502784" w:rsidP="00553C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B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  <w:p w:rsidR="00502784" w:rsidRPr="00C14B18" w:rsidRDefault="00502784" w:rsidP="00553C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2784" w:rsidRPr="00C14B18" w:rsidRDefault="00502784" w:rsidP="00EB418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3665F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317,2</w:t>
            </w:r>
          </w:p>
        </w:tc>
        <w:tc>
          <w:tcPr>
            <w:tcW w:w="2410" w:type="dxa"/>
            <w:vAlign w:val="center"/>
          </w:tcPr>
          <w:p w:rsidR="00502784" w:rsidRPr="00C14B18" w:rsidRDefault="00502784" w:rsidP="00F8457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714,</w:t>
            </w:r>
            <w:r w:rsidR="0043236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</w:tr>
    </w:tbl>
    <w:p w:rsidR="00C14B18" w:rsidRDefault="0003183D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183D">
        <w:rPr>
          <w:rFonts w:ascii="Times New Roman" w:hAnsi="Times New Roman"/>
          <w:noProof/>
          <w:sz w:val="28"/>
          <w:szCs w:val="28"/>
          <w:lang w:eastAsia="ru-RU"/>
        </w:rPr>
        <w:t> </w:t>
      </w:r>
    </w:p>
    <w:p w:rsidR="00A03782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3782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3782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367" w:rsidRDefault="0043236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367" w:rsidRDefault="0043236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367" w:rsidRDefault="0043236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367" w:rsidRDefault="0043236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F760D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Объё</w:t>
      </w:r>
      <w:r w:rsidR="006E6BC5" w:rsidRPr="00C14B18">
        <w:rPr>
          <w:rFonts w:ascii="Times New Roman" w:hAnsi="Times New Roman"/>
          <w:noProof/>
          <w:sz w:val="28"/>
          <w:szCs w:val="28"/>
          <w:lang w:eastAsia="ru-RU"/>
        </w:rPr>
        <w:t>мы предоставленных поручительств и</w:t>
      </w:r>
      <w:r w:rsidR="00CB2F53">
        <w:rPr>
          <w:rFonts w:ascii="Times New Roman" w:hAnsi="Times New Roman"/>
          <w:noProof/>
          <w:sz w:val="28"/>
          <w:szCs w:val="28"/>
          <w:lang w:eastAsia="ru-RU"/>
        </w:rPr>
        <w:t xml:space="preserve"> финансовых обязательств</w:t>
      </w:r>
      <w:r w:rsidR="005C4462" w:rsidRPr="00C14B18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6E6BC5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выданных под поручительства Фонда</w:t>
      </w:r>
      <w:r w:rsidR="005C4462" w:rsidRPr="00C14B18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6E6BC5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B7B29" w:rsidRPr="00C14B18">
        <w:rPr>
          <w:rFonts w:ascii="Times New Roman" w:hAnsi="Times New Roman"/>
          <w:noProof/>
          <w:sz w:val="28"/>
          <w:szCs w:val="28"/>
          <w:lang w:eastAsia="ru-RU"/>
        </w:rPr>
        <w:t xml:space="preserve">за отчетный период </w:t>
      </w:r>
      <w:r w:rsidR="00C14B18">
        <w:rPr>
          <w:rFonts w:ascii="Times New Roman" w:hAnsi="Times New Roman"/>
          <w:noProof/>
          <w:sz w:val="28"/>
          <w:szCs w:val="28"/>
          <w:lang w:eastAsia="ru-RU"/>
        </w:rPr>
        <w:t>представлены на графике:</w:t>
      </w:r>
    </w:p>
    <w:p w:rsidR="000B7FD7" w:rsidRDefault="000B7FD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B7FD7" w:rsidRDefault="000B7FD7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B7F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78285" cy="7756071"/>
            <wp:effectExtent l="19050" t="0" r="272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3782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3782" w:rsidRDefault="00A03782" w:rsidP="00C14B18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C1704" w:rsidRDefault="0003183D" w:rsidP="00045F64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45F64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По видам деятельности предоставленные поручительства делятся следующим образом:</w:t>
      </w:r>
    </w:p>
    <w:p w:rsidR="00045F64" w:rsidRDefault="00045F64" w:rsidP="00045F64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9579" w:type="dxa"/>
        <w:jc w:val="center"/>
        <w:tblInd w:w="-2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59"/>
        <w:gridCol w:w="1275"/>
        <w:gridCol w:w="1560"/>
        <w:gridCol w:w="2126"/>
        <w:gridCol w:w="1559"/>
      </w:tblGrid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Структура кредитов по отраслям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от общего количества</w:t>
            </w:r>
            <w:r w:rsidR="008563CD">
              <w:rPr>
                <w:rFonts w:ascii="Times New Roman" w:hAnsi="Times New Roman"/>
                <w:b/>
                <w:sz w:val="24"/>
                <w:szCs w:val="24"/>
              </w:rPr>
              <w:t>,%</w:t>
            </w:r>
          </w:p>
        </w:tc>
        <w:tc>
          <w:tcPr>
            <w:tcW w:w="2126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Сумма поручительств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млн</w:t>
            </w: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. руб.</w:t>
            </w:r>
          </w:p>
        </w:tc>
        <w:tc>
          <w:tcPr>
            <w:tcW w:w="1559" w:type="dxa"/>
            <w:vAlign w:val="center"/>
          </w:tcPr>
          <w:p w:rsidR="00045F64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Сумма кредитов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млн</w:t>
            </w:r>
            <w:r w:rsidRPr="00A940F5">
              <w:rPr>
                <w:rFonts w:ascii="Times New Roman" w:hAnsi="Times New Roman"/>
                <w:b/>
                <w:sz w:val="24"/>
                <w:szCs w:val="24"/>
              </w:rPr>
              <w:t>. руб.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Инновации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45F64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126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27762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5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</w:t>
            </w:r>
            <w:r w:rsidR="006A3EF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9B4E53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45F64" w:rsidRPr="00A940F5">
              <w:rPr>
                <w:rFonts w:ascii="Times New Roman" w:hAnsi="Times New Roman"/>
                <w:sz w:val="20"/>
                <w:szCs w:val="20"/>
              </w:rPr>
              <w:t>орговля</w:t>
            </w:r>
          </w:p>
        </w:tc>
        <w:tc>
          <w:tcPr>
            <w:tcW w:w="1275" w:type="dxa"/>
            <w:vAlign w:val="center"/>
          </w:tcPr>
          <w:p w:rsidR="00045F64" w:rsidRPr="00A940F5" w:rsidRDefault="009B4E53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45F64" w:rsidRPr="00A940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45F64" w:rsidRPr="00A940F5" w:rsidRDefault="009B4E53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4323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vAlign w:val="center"/>
          </w:tcPr>
          <w:p w:rsidR="00045F64" w:rsidRPr="00A940F5" w:rsidRDefault="009B4E53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  <w:tc>
          <w:tcPr>
            <w:tcW w:w="1559" w:type="dxa"/>
            <w:vAlign w:val="center"/>
          </w:tcPr>
          <w:p w:rsidR="00045F64" w:rsidRPr="00A940F5" w:rsidRDefault="009B4E53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5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35</w:t>
            </w:r>
            <w:r w:rsidR="006A3EF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5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43</w:t>
            </w:r>
            <w:r w:rsidR="006A3EF0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2 ,1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Услуги по перевозке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C2A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45F64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2126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27762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Недвижимость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45F64" w:rsidRPr="00A940F5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</w:tr>
      <w:tr w:rsidR="00045F64" w:rsidRPr="00A940F5" w:rsidTr="00190B70">
        <w:trPr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0F5">
              <w:rPr>
                <w:rFonts w:ascii="Times New Roman" w:hAnsi="Times New Roman"/>
                <w:sz w:val="20"/>
                <w:szCs w:val="20"/>
              </w:rPr>
              <w:t>Прочее</w:t>
            </w:r>
          </w:p>
        </w:tc>
        <w:tc>
          <w:tcPr>
            <w:tcW w:w="1275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45F64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2126" w:type="dxa"/>
            <w:vAlign w:val="center"/>
          </w:tcPr>
          <w:p w:rsidR="00045F64" w:rsidRPr="00A940F5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1559" w:type="dxa"/>
            <w:vAlign w:val="center"/>
          </w:tcPr>
          <w:p w:rsidR="00045F64" w:rsidRPr="00A940F5" w:rsidRDefault="006A3EF0" w:rsidP="007536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045F64" w:rsidRPr="00C80B5D" w:rsidTr="00190B70">
        <w:trPr>
          <w:trHeight w:val="765"/>
          <w:jc w:val="center"/>
        </w:trPr>
        <w:tc>
          <w:tcPr>
            <w:tcW w:w="3059" w:type="dxa"/>
            <w:vAlign w:val="center"/>
          </w:tcPr>
          <w:p w:rsidR="00045F64" w:rsidRPr="00A940F5" w:rsidRDefault="00045F64" w:rsidP="00753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0F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045F64" w:rsidRPr="00C80B5D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D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560" w:type="dxa"/>
          </w:tcPr>
          <w:p w:rsidR="00045F64" w:rsidRDefault="00045F64" w:rsidP="007536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63CD" w:rsidRPr="00C80B5D" w:rsidRDefault="008563CD" w:rsidP="007536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045F64" w:rsidRPr="00C80B5D" w:rsidRDefault="00627762" w:rsidP="007536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317,</w:t>
            </w:r>
            <w:r w:rsidR="006A3E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45F64" w:rsidRPr="00C80B5D" w:rsidRDefault="00045F64" w:rsidP="006A3E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D">
              <w:rPr>
                <w:rFonts w:ascii="Times New Roman" w:hAnsi="Times New Roman"/>
                <w:b/>
                <w:sz w:val="20"/>
                <w:szCs w:val="20"/>
              </w:rPr>
              <w:t>714</w:t>
            </w:r>
            <w:r w:rsidR="006A3EF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80B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5C2A9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045F64" w:rsidRPr="00045F64" w:rsidRDefault="00045F64" w:rsidP="00045F64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695D" w:rsidRDefault="00F9695D" w:rsidP="006D46B8">
      <w:pPr>
        <w:spacing w:after="0" w:line="240" w:lineRule="auto"/>
        <w:ind w:firstLine="480"/>
        <w:jc w:val="center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B378C8" w:rsidRPr="003875E8" w:rsidRDefault="00B378C8" w:rsidP="006D46B8">
      <w:pPr>
        <w:spacing w:after="0" w:line="240" w:lineRule="auto"/>
        <w:ind w:firstLine="480"/>
        <w:jc w:val="center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1D04AD" w:rsidRPr="009B4E53" w:rsidRDefault="001D04AD" w:rsidP="009B4E5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183D" w:rsidRDefault="0003183D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4E5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Диаграмма </w:t>
      </w:r>
      <w:r w:rsidR="001F760D" w:rsidRPr="009B4E5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количества </w:t>
      </w:r>
      <w:r w:rsidR="001056D6" w:rsidRPr="009B4E53">
        <w:rPr>
          <w:rFonts w:ascii="Times New Roman" w:hAnsi="Times New Roman"/>
          <w:b/>
          <w:noProof/>
          <w:sz w:val="28"/>
          <w:szCs w:val="28"/>
          <w:lang w:eastAsia="ru-RU"/>
        </w:rPr>
        <w:t>выданных</w:t>
      </w:r>
      <w:r w:rsidRPr="009B4E5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поручительств по ви</w:t>
      </w:r>
      <w:r w:rsidR="001F2A33" w:rsidRPr="009B4E53">
        <w:rPr>
          <w:rFonts w:ascii="Times New Roman" w:hAnsi="Times New Roman"/>
          <w:b/>
          <w:noProof/>
          <w:sz w:val="28"/>
          <w:szCs w:val="28"/>
          <w:lang w:eastAsia="ru-RU"/>
        </w:rPr>
        <w:t>дам деятельности</w:t>
      </w:r>
      <w:r w:rsidR="0064385A"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</w:p>
    <w:p w:rsidR="0064385A" w:rsidRDefault="0064385A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4385A" w:rsidRPr="009B4E53" w:rsidRDefault="0064385A" w:rsidP="0064385A">
      <w:pPr>
        <w:spacing w:after="0" w:line="240" w:lineRule="auto"/>
        <w:ind w:firstLine="426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53CEB" w:rsidRDefault="006B2BC8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B2BC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563629"/>
            <wp:effectExtent l="1905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385A" w:rsidRDefault="0064385A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4385A" w:rsidRDefault="0064385A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4385A" w:rsidRDefault="0064385A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4385A" w:rsidRDefault="0064385A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</w:pPr>
    </w:p>
    <w:p w:rsidR="00B378C8" w:rsidRPr="003875E8" w:rsidRDefault="00B378C8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</w:pPr>
    </w:p>
    <w:p w:rsidR="004946FE" w:rsidRPr="003875E8" w:rsidRDefault="004946FE" w:rsidP="009B5502">
      <w:pPr>
        <w:spacing w:after="0" w:line="240" w:lineRule="auto"/>
        <w:ind w:firstLine="426"/>
        <w:jc w:val="center"/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</w:pPr>
    </w:p>
    <w:p w:rsidR="00A10565" w:rsidRDefault="001A56B7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>Диаграмма привлечения</w:t>
      </w:r>
      <w:r w:rsidR="00771023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F760D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средств </w:t>
      </w:r>
      <w:r w:rsidR="00A36A2A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под поручительство Фонда </w:t>
      </w:r>
      <w:r w:rsidR="00281DEE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 </w:t>
      </w:r>
      <w:r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>видам</w:t>
      </w:r>
      <w:r w:rsidR="00281DEE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деятельности</w:t>
      </w:r>
      <w:r w:rsidR="00EB59BC" w:rsidRPr="00EB59BC"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</w:p>
    <w:p w:rsidR="00346780" w:rsidRDefault="00346780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6780" w:rsidRDefault="00346780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6780" w:rsidRDefault="00346780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4678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442859"/>
            <wp:effectExtent l="19050" t="0" r="381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59BC" w:rsidRDefault="00EB59BC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B59BC" w:rsidRPr="00EB59BC" w:rsidRDefault="00EB59BC" w:rsidP="00EB59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67B2B" w:rsidRPr="003875E8" w:rsidRDefault="00A67B2B" w:rsidP="00A10565">
      <w:pPr>
        <w:spacing w:after="0" w:line="240" w:lineRule="auto"/>
        <w:rPr>
          <w:rFonts w:ascii="Times New Roman" w:hAnsi="Times New Roman"/>
          <w:noProof/>
          <w:sz w:val="16"/>
          <w:szCs w:val="16"/>
          <w:highlight w:val="yellow"/>
          <w:lang w:eastAsia="ru-RU"/>
        </w:rPr>
      </w:pPr>
    </w:p>
    <w:p w:rsidR="0003183D" w:rsidRPr="00226F8C" w:rsidRDefault="0059371A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226F8C">
        <w:rPr>
          <w:rFonts w:ascii="Times New Roman" w:hAnsi="Times New Roman"/>
          <w:noProof/>
          <w:sz w:val="28"/>
          <w:szCs w:val="28"/>
          <w:lang w:eastAsia="ru-RU"/>
        </w:rPr>
        <w:t>Предприниматели следующих районов и городов области воспользовались поручительством Фонда при получении кредита</w:t>
      </w:r>
      <w:r w:rsidR="00CB2F53" w:rsidRPr="00226F8C">
        <w:rPr>
          <w:rFonts w:ascii="Times New Roman" w:hAnsi="Times New Roman"/>
          <w:noProof/>
          <w:sz w:val="28"/>
          <w:szCs w:val="28"/>
          <w:lang w:eastAsia="ru-RU"/>
        </w:rPr>
        <w:t>, банковской гаран</w:t>
      </w:r>
      <w:r w:rsidR="000F7DDC" w:rsidRPr="00226F8C">
        <w:rPr>
          <w:rFonts w:ascii="Times New Roman" w:hAnsi="Times New Roman"/>
          <w:noProof/>
          <w:sz w:val="28"/>
          <w:szCs w:val="28"/>
          <w:lang w:eastAsia="ru-RU"/>
        </w:rPr>
        <w:t>тии, финансовой аренды (лизинга):</w:t>
      </w:r>
    </w:p>
    <w:p w:rsidR="0003183D" w:rsidRDefault="00D01598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226F8C">
        <w:rPr>
          <w:rFonts w:ascii="Times New Roman" w:hAnsi="Times New Roman"/>
          <w:noProof/>
          <w:sz w:val="28"/>
          <w:szCs w:val="28"/>
          <w:lang w:eastAsia="ru-RU"/>
        </w:rPr>
        <w:t>г. </w:t>
      </w:r>
      <w:r w:rsidR="0003183D" w:rsidRPr="00226F8C">
        <w:rPr>
          <w:rFonts w:ascii="Times New Roman" w:hAnsi="Times New Roman"/>
          <w:noProof/>
          <w:sz w:val="28"/>
          <w:szCs w:val="28"/>
          <w:lang w:eastAsia="ru-RU"/>
        </w:rPr>
        <w:t>Новосибирск –</w:t>
      </w:r>
      <w:r w:rsidR="00226F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26F8C"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71 </w:t>
      </w:r>
      <w:r w:rsidR="0003183D" w:rsidRPr="00226F8C">
        <w:rPr>
          <w:rFonts w:ascii="Times New Roman" w:hAnsi="Times New Roman"/>
          <w:noProof/>
          <w:sz w:val="28"/>
          <w:szCs w:val="28"/>
          <w:lang w:eastAsia="ru-RU"/>
        </w:rPr>
        <w:t>поручительств</w:t>
      </w:r>
      <w:r w:rsidR="00226F8C" w:rsidRPr="00226F8C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03183D"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="009170BB">
        <w:rPr>
          <w:rFonts w:ascii="Times New Roman" w:hAnsi="Times New Roman"/>
          <w:noProof/>
          <w:sz w:val="28"/>
          <w:szCs w:val="28"/>
          <w:lang w:eastAsia="ru-RU"/>
        </w:rPr>
        <w:t xml:space="preserve">76 </w:t>
      </w:r>
      <w:r w:rsidR="0003183D" w:rsidRPr="00226F8C">
        <w:rPr>
          <w:rFonts w:ascii="Times New Roman" w:hAnsi="Times New Roman"/>
          <w:noProof/>
          <w:sz w:val="28"/>
          <w:szCs w:val="28"/>
          <w:lang w:eastAsia="ru-RU"/>
        </w:rPr>
        <w:t>%</w:t>
      </w:r>
      <w:r w:rsidR="0013744A"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 от общего количества предоставленных поручительств </w:t>
      </w:r>
      <w:r w:rsidR="00953CEB" w:rsidRPr="00226F8C">
        <w:rPr>
          <w:rFonts w:ascii="Times New Roman" w:hAnsi="Times New Roman"/>
          <w:noProof/>
          <w:sz w:val="28"/>
          <w:szCs w:val="28"/>
          <w:lang w:eastAsia="ru-RU"/>
        </w:rPr>
        <w:t>за 9 месяцев</w:t>
      </w:r>
      <w:r w:rsidR="00D77819"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3744A" w:rsidRPr="00226F8C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226F8C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2F0CAC"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E1666" w:rsidRPr="00226F8C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03183D" w:rsidRPr="00226F8C">
        <w:rPr>
          <w:rFonts w:ascii="Times New Roman" w:hAnsi="Times New Roman"/>
          <w:noProof/>
          <w:sz w:val="28"/>
          <w:szCs w:val="28"/>
          <w:lang w:eastAsia="ru-RU"/>
        </w:rPr>
        <w:t>);</w:t>
      </w:r>
    </w:p>
    <w:p w:rsidR="00226F8C" w:rsidRDefault="00226F8C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г. Бердск – 5</w:t>
      </w:r>
      <w:r w:rsidRPr="00226F8C">
        <w:rPr>
          <w:rFonts w:ascii="Times New Roman" w:hAnsi="Times New Roman"/>
          <w:noProof/>
          <w:sz w:val="28"/>
          <w:szCs w:val="28"/>
          <w:lang w:eastAsia="ru-RU"/>
        </w:rPr>
        <w:t xml:space="preserve"> поручительств (</w:t>
      </w:r>
      <w:r>
        <w:rPr>
          <w:rFonts w:ascii="Times New Roman" w:hAnsi="Times New Roman"/>
          <w:noProof/>
          <w:sz w:val="28"/>
          <w:szCs w:val="28"/>
          <w:lang w:eastAsia="ru-RU"/>
        </w:rPr>
        <w:t>5,3</w:t>
      </w:r>
      <w:r w:rsidRPr="00226F8C">
        <w:rPr>
          <w:rFonts w:ascii="Times New Roman" w:hAnsi="Times New Roman"/>
          <w:noProof/>
          <w:sz w:val="28"/>
          <w:szCs w:val="28"/>
          <w:lang w:eastAsia="ru-RU"/>
        </w:rPr>
        <w:t>%);</w:t>
      </w:r>
    </w:p>
    <w:p w:rsidR="00226F8C" w:rsidRDefault="00226F8C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Новосибирский, Карасукский районы – по 3 поручительства ( по 3,2%);</w:t>
      </w:r>
    </w:p>
    <w:p w:rsidR="00C40BF9" w:rsidRDefault="00226F8C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Искитимский, Коченёвский, Кочковский районы – по 2 поручительства </w:t>
      </w:r>
    </w:p>
    <w:p w:rsidR="00226F8C" w:rsidRDefault="00226F8C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 по 2,1%);</w:t>
      </w:r>
    </w:p>
    <w:p w:rsidR="00C40BF9" w:rsidRDefault="00226F8C" w:rsidP="00C40BF9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Краснозёрский, Куйбышевский, Купинский, Сузунский, </w:t>
      </w:r>
    </w:p>
    <w:p w:rsidR="00226F8C" w:rsidRPr="00226F8C" w:rsidRDefault="00CB6F01" w:rsidP="00C40BF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Усть-</w:t>
      </w:r>
      <w:r w:rsidR="00226F8C">
        <w:rPr>
          <w:rFonts w:ascii="Times New Roman" w:hAnsi="Times New Roman"/>
          <w:noProof/>
          <w:sz w:val="28"/>
          <w:szCs w:val="28"/>
          <w:lang w:eastAsia="ru-RU"/>
        </w:rPr>
        <w:t xml:space="preserve">Таркский, Чулымский районы – по </w:t>
      </w:r>
      <w:r w:rsidR="009170BB">
        <w:rPr>
          <w:rFonts w:ascii="Times New Roman" w:hAnsi="Times New Roman"/>
          <w:noProof/>
          <w:sz w:val="28"/>
          <w:szCs w:val="28"/>
          <w:lang w:eastAsia="ru-RU"/>
        </w:rPr>
        <w:t>1 поручительству ( по 1,2</w:t>
      </w:r>
      <w:r w:rsidR="00226F8C">
        <w:rPr>
          <w:rFonts w:ascii="Times New Roman" w:hAnsi="Times New Roman"/>
          <w:noProof/>
          <w:sz w:val="28"/>
          <w:szCs w:val="28"/>
          <w:lang w:eastAsia="ru-RU"/>
        </w:rPr>
        <w:t>%).</w:t>
      </w:r>
    </w:p>
    <w:p w:rsidR="00226F8C" w:rsidRPr="003875E8" w:rsidRDefault="00226F8C" w:rsidP="006767E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4E2B94" w:rsidRPr="003875E8" w:rsidRDefault="004E2B94" w:rsidP="004E2B94">
      <w:pPr>
        <w:spacing w:after="0" w:line="240" w:lineRule="auto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378C8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22446" w:rsidRDefault="0068371C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45A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График количества </w:t>
      </w:r>
      <w:r w:rsidR="001D5162" w:rsidRPr="00A45A91">
        <w:rPr>
          <w:rFonts w:ascii="Times New Roman" w:hAnsi="Times New Roman"/>
          <w:b/>
          <w:noProof/>
          <w:sz w:val="28"/>
          <w:szCs w:val="28"/>
          <w:lang w:eastAsia="ru-RU"/>
        </w:rPr>
        <w:t>предоставленных поручительств по городам и районам области</w:t>
      </w:r>
      <w:r w:rsidR="0059371A" w:rsidRPr="00A45A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(без г. Новосибирска)</w:t>
      </w:r>
      <w:r w:rsidR="00B378C8"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</w:p>
    <w:p w:rsidR="00B378C8" w:rsidRPr="00A45A91" w:rsidRDefault="00B378C8" w:rsidP="00A45A91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8"/>
          <w:szCs w:val="8"/>
          <w:lang w:eastAsia="ru-RU"/>
        </w:rPr>
      </w:pPr>
    </w:p>
    <w:p w:rsidR="00D01598" w:rsidRPr="003875E8" w:rsidRDefault="00D01598" w:rsidP="00391036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8"/>
          <w:szCs w:val="8"/>
          <w:highlight w:val="yellow"/>
          <w:lang w:eastAsia="ru-RU"/>
        </w:rPr>
      </w:pPr>
    </w:p>
    <w:p w:rsidR="00D01598" w:rsidRPr="003875E8" w:rsidRDefault="00D01598" w:rsidP="00391036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8"/>
          <w:szCs w:val="8"/>
          <w:highlight w:val="yellow"/>
          <w:lang w:eastAsia="ru-RU"/>
        </w:rPr>
      </w:pPr>
    </w:p>
    <w:p w:rsidR="0000618E" w:rsidRDefault="00B378C8" w:rsidP="006A324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378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971925"/>
            <wp:effectExtent l="19050" t="0" r="9525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78C8" w:rsidRPr="003875E8" w:rsidRDefault="00B378C8" w:rsidP="006A324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432367" w:rsidRDefault="00432367" w:rsidP="00781B5C">
      <w:pPr>
        <w:pStyle w:val="a8"/>
        <w:tabs>
          <w:tab w:val="clear" w:pos="993"/>
          <w:tab w:val="left" w:pos="0"/>
          <w:tab w:val="left" w:pos="709"/>
        </w:tabs>
        <w:ind w:firstLine="0"/>
        <w:rPr>
          <w:rFonts w:eastAsia="Calibri"/>
          <w:szCs w:val="28"/>
          <w:lang w:eastAsia="en-US"/>
        </w:rPr>
      </w:pPr>
    </w:p>
    <w:p w:rsidR="00DD123E" w:rsidRDefault="00432367" w:rsidP="00781B5C">
      <w:pPr>
        <w:pStyle w:val="a8"/>
        <w:tabs>
          <w:tab w:val="clear" w:pos="993"/>
          <w:tab w:val="left" w:pos="0"/>
          <w:tab w:val="left" w:pos="709"/>
        </w:tabs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781B5C" w:rsidRDefault="00DD123E" w:rsidP="00781B5C">
      <w:pPr>
        <w:pStyle w:val="a8"/>
        <w:tabs>
          <w:tab w:val="clear" w:pos="993"/>
          <w:tab w:val="left" w:pos="0"/>
          <w:tab w:val="left" w:pos="709"/>
        </w:tabs>
        <w:ind w:firstLine="0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ab/>
      </w:r>
      <w:r w:rsidR="00781B5C" w:rsidRPr="00432367">
        <w:rPr>
          <w:color w:val="000000"/>
          <w:szCs w:val="28"/>
        </w:rPr>
        <w:t>За весь период деятельности, Фонд исполнил обязательства поручителя по 16 договорам поручительства на общую сумму 45 857 803,80</w:t>
      </w:r>
      <w:r w:rsidR="00953CEB" w:rsidRPr="00432367">
        <w:rPr>
          <w:color w:val="000000"/>
          <w:szCs w:val="28"/>
        </w:rPr>
        <w:t xml:space="preserve"> рубля</w:t>
      </w:r>
      <w:r w:rsidR="00781B5C" w:rsidRPr="00432367">
        <w:rPr>
          <w:color w:val="000000"/>
          <w:szCs w:val="28"/>
        </w:rPr>
        <w:t xml:space="preserve">. </w:t>
      </w:r>
    </w:p>
    <w:p w:rsidR="00DD123E" w:rsidRPr="00432367" w:rsidRDefault="00DD123E" w:rsidP="00781B5C">
      <w:pPr>
        <w:pStyle w:val="a8"/>
        <w:tabs>
          <w:tab w:val="clear" w:pos="993"/>
          <w:tab w:val="left" w:pos="0"/>
          <w:tab w:val="left" w:pos="709"/>
        </w:tabs>
        <w:ind w:firstLine="0"/>
        <w:rPr>
          <w:color w:val="000000"/>
          <w:szCs w:val="28"/>
        </w:rPr>
      </w:pPr>
    </w:p>
    <w:p w:rsidR="004C222F" w:rsidRPr="00F76453" w:rsidRDefault="000F7DDC" w:rsidP="000F7DD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432367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CellMar>
          <w:left w:w="32" w:type="dxa"/>
          <w:right w:w="0" w:type="dxa"/>
        </w:tblCellMar>
        <w:tblLook w:val="04A0"/>
      </w:tblPr>
      <w:tblGrid>
        <w:gridCol w:w="1725"/>
      </w:tblGrid>
      <w:tr w:rsidR="004C222F" w:rsidRPr="004C222F" w:rsidTr="004C222F">
        <w:trPr>
          <w:hidden/>
        </w:trPr>
        <w:tc>
          <w:tcPr>
            <w:tcW w:w="1725" w:type="dxa"/>
            <w:vAlign w:val="center"/>
            <w:hideMark/>
          </w:tcPr>
          <w:p w:rsidR="004C222F" w:rsidRPr="004C222F" w:rsidRDefault="004C222F" w:rsidP="004C222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7708DE" w:rsidRPr="00432367" w:rsidRDefault="00DD123E" w:rsidP="00C40BF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432367">
        <w:rPr>
          <w:rFonts w:ascii="Times New Roman" w:hAnsi="Times New Roman"/>
          <w:sz w:val="28"/>
          <w:szCs w:val="28"/>
        </w:rPr>
        <w:t>За весь период деят</w:t>
      </w:r>
      <w:r>
        <w:rPr>
          <w:rFonts w:ascii="Times New Roman" w:hAnsi="Times New Roman"/>
          <w:sz w:val="28"/>
          <w:szCs w:val="28"/>
        </w:rPr>
        <w:t>ельности, Фондом было выдано 1 502</w:t>
      </w:r>
      <w:r w:rsidRPr="00432367">
        <w:rPr>
          <w:rFonts w:ascii="Times New Roman" w:hAnsi="Times New Roman"/>
          <w:sz w:val="28"/>
          <w:szCs w:val="28"/>
        </w:rPr>
        <w:t xml:space="preserve"> поручительств</w:t>
      </w:r>
      <w:r>
        <w:rPr>
          <w:rFonts w:ascii="Times New Roman" w:hAnsi="Times New Roman"/>
          <w:sz w:val="28"/>
          <w:szCs w:val="28"/>
        </w:rPr>
        <w:t xml:space="preserve">а. </w:t>
      </w:r>
      <w:r w:rsidR="007708DE" w:rsidRPr="00432367">
        <w:rPr>
          <w:rFonts w:ascii="Times New Roman" w:hAnsi="Times New Roman"/>
          <w:sz w:val="28"/>
          <w:szCs w:val="28"/>
        </w:rPr>
        <w:t>Общая сумма поручительств составила</w:t>
      </w:r>
      <w:r w:rsidR="00F76453">
        <w:rPr>
          <w:rFonts w:ascii="Times New Roman" w:hAnsi="Times New Roman"/>
          <w:sz w:val="28"/>
          <w:szCs w:val="28"/>
        </w:rPr>
        <w:t xml:space="preserve"> </w:t>
      </w:r>
      <w:r w:rsidR="00F76453" w:rsidRPr="004C222F">
        <w:rPr>
          <w:rFonts w:ascii="Times New Roman" w:hAnsi="Times New Roman"/>
          <w:sz w:val="28"/>
          <w:szCs w:val="28"/>
        </w:rPr>
        <w:t>4 999</w:t>
      </w:r>
      <w:r w:rsidR="00F76453">
        <w:rPr>
          <w:rFonts w:ascii="Times New Roman" w:hAnsi="Times New Roman"/>
          <w:sz w:val="28"/>
          <w:szCs w:val="28"/>
        </w:rPr>
        <w:t> 049 </w:t>
      </w:r>
      <w:r w:rsidR="00F76453" w:rsidRPr="004C222F">
        <w:rPr>
          <w:rFonts w:ascii="Times New Roman" w:hAnsi="Times New Roman"/>
          <w:sz w:val="28"/>
          <w:szCs w:val="28"/>
        </w:rPr>
        <w:t>18</w:t>
      </w:r>
      <w:r w:rsidR="00F76453">
        <w:rPr>
          <w:rFonts w:ascii="Times New Roman" w:hAnsi="Times New Roman"/>
          <w:sz w:val="28"/>
          <w:szCs w:val="28"/>
        </w:rPr>
        <w:t xml:space="preserve">1, 33 </w:t>
      </w:r>
      <w:r w:rsidR="007708DE" w:rsidRPr="00432367">
        <w:rPr>
          <w:rFonts w:ascii="Times New Roman" w:hAnsi="Times New Roman"/>
          <w:sz w:val="28"/>
          <w:szCs w:val="28"/>
        </w:rPr>
        <w:t xml:space="preserve"> </w:t>
      </w:r>
      <w:r w:rsidR="00F76453">
        <w:rPr>
          <w:rFonts w:ascii="Times New Roman" w:hAnsi="Times New Roman"/>
          <w:sz w:val="28"/>
          <w:szCs w:val="28"/>
        </w:rPr>
        <w:t>рублей</w:t>
      </w:r>
      <w:r w:rsidR="007708DE" w:rsidRPr="00432367">
        <w:rPr>
          <w:rFonts w:ascii="Times New Roman" w:hAnsi="Times New Roman"/>
          <w:sz w:val="28"/>
          <w:szCs w:val="28"/>
        </w:rPr>
        <w:t xml:space="preserve">,  общая сумма </w:t>
      </w:r>
      <w:r w:rsidR="00953CEB" w:rsidRPr="00432367">
        <w:rPr>
          <w:rFonts w:ascii="Times New Roman" w:hAnsi="Times New Roman"/>
          <w:sz w:val="28"/>
          <w:szCs w:val="28"/>
        </w:rPr>
        <w:t xml:space="preserve">обязательств, </w:t>
      </w:r>
      <w:r w:rsidR="007708DE" w:rsidRPr="00432367">
        <w:rPr>
          <w:rFonts w:ascii="Times New Roman" w:hAnsi="Times New Roman"/>
          <w:sz w:val="28"/>
          <w:szCs w:val="28"/>
        </w:rPr>
        <w:t xml:space="preserve">выданных </w:t>
      </w:r>
      <w:r w:rsidR="00953CEB" w:rsidRPr="00432367">
        <w:rPr>
          <w:rFonts w:ascii="Times New Roman" w:hAnsi="Times New Roman"/>
          <w:sz w:val="28"/>
          <w:szCs w:val="28"/>
        </w:rPr>
        <w:t xml:space="preserve">финансовыми организациями – партнёрами </w:t>
      </w:r>
      <w:r w:rsidR="007708DE" w:rsidRPr="00432367">
        <w:rPr>
          <w:rFonts w:ascii="Times New Roman" w:hAnsi="Times New Roman"/>
          <w:sz w:val="28"/>
          <w:szCs w:val="28"/>
        </w:rPr>
        <w:t>под поручительства Фонда –</w:t>
      </w:r>
      <w:r w:rsidR="00F76453">
        <w:rPr>
          <w:rFonts w:ascii="Times New Roman" w:hAnsi="Times New Roman"/>
          <w:color w:val="000000"/>
          <w:sz w:val="28"/>
          <w:szCs w:val="28"/>
        </w:rPr>
        <w:t xml:space="preserve"> 8 846 696 928, 04 </w:t>
      </w:r>
      <w:r w:rsidR="00F76453">
        <w:rPr>
          <w:rFonts w:ascii="Times New Roman" w:hAnsi="Times New Roman"/>
          <w:sz w:val="28"/>
          <w:szCs w:val="28"/>
        </w:rPr>
        <w:t>рублей</w:t>
      </w:r>
      <w:r w:rsidR="007708DE" w:rsidRPr="00432367">
        <w:rPr>
          <w:rFonts w:ascii="Times New Roman" w:hAnsi="Times New Roman"/>
          <w:sz w:val="28"/>
          <w:szCs w:val="28"/>
        </w:rPr>
        <w:t>.</w:t>
      </w:r>
    </w:p>
    <w:p w:rsidR="00DD123E" w:rsidRDefault="000F7DDC" w:rsidP="00091F86">
      <w:pPr>
        <w:spacing w:after="0" w:line="240" w:lineRule="auto"/>
        <w:ind w:firstLine="480"/>
        <w:rPr>
          <w:rFonts w:ascii="Times New Roman" w:hAnsi="Times New Roman"/>
          <w:noProof/>
          <w:sz w:val="28"/>
          <w:szCs w:val="28"/>
          <w:lang w:eastAsia="ru-RU"/>
        </w:rPr>
      </w:pPr>
      <w:r w:rsidRPr="00F76453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DD123E" w:rsidRDefault="00DD123E" w:rsidP="00091F86">
      <w:pPr>
        <w:spacing w:after="0" w:line="240" w:lineRule="auto"/>
        <w:ind w:firstLine="4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708DE" w:rsidRPr="00F76453" w:rsidRDefault="007708DE" w:rsidP="00091F86">
      <w:pPr>
        <w:spacing w:after="0" w:line="240" w:lineRule="auto"/>
        <w:ind w:firstLine="480"/>
        <w:rPr>
          <w:rFonts w:ascii="Times New Roman" w:hAnsi="Times New Roman"/>
          <w:noProof/>
          <w:sz w:val="28"/>
          <w:szCs w:val="28"/>
          <w:lang w:eastAsia="ru-RU"/>
        </w:rPr>
      </w:pPr>
      <w:r w:rsidRPr="00F76453">
        <w:rPr>
          <w:rFonts w:ascii="Times New Roman" w:hAnsi="Times New Roman"/>
          <w:noProof/>
          <w:sz w:val="28"/>
          <w:szCs w:val="28"/>
          <w:lang w:eastAsia="ru-RU"/>
        </w:rPr>
        <w:t xml:space="preserve">Из </w:t>
      </w:r>
      <w:r w:rsidR="00F76453" w:rsidRPr="00F76453">
        <w:rPr>
          <w:rFonts w:ascii="Times New Roman" w:hAnsi="Times New Roman"/>
          <w:sz w:val="28"/>
          <w:szCs w:val="28"/>
        </w:rPr>
        <w:t xml:space="preserve">1 502 </w:t>
      </w:r>
      <w:r w:rsidR="000C6B0D" w:rsidRPr="00F76453">
        <w:rPr>
          <w:rFonts w:ascii="Times New Roman" w:hAnsi="Times New Roman"/>
          <w:noProof/>
          <w:sz w:val="28"/>
          <w:szCs w:val="28"/>
          <w:lang w:eastAsia="ru-RU"/>
        </w:rPr>
        <w:t>финансовых обязательств</w:t>
      </w:r>
      <w:r w:rsidRPr="00F76453">
        <w:rPr>
          <w:rFonts w:ascii="Times New Roman" w:hAnsi="Times New Roman"/>
          <w:noProof/>
          <w:sz w:val="28"/>
          <w:szCs w:val="28"/>
          <w:lang w:eastAsia="ru-RU"/>
        </w:rPr>
        <w:t>, выданных под поручительство Фонда, возвращено 960 на общую сумму 5 021, </w:t>
      </w:r>
      <w:r w:rsidR="00091F86" w:rsidRPr="00F76453">
        <w:rPr>
          <w:rFonts w:ascii="Times New Roman" w:hAnsi="Times New Roman"/>
          <w:noProof/>
          <w:sz w:val="28"/>
          <w:szCs w:val="28"/>
          <w:lang w:eastAsia="ru-RU"/>
        </w:rPr>
        <w:t>54 млн. рублей.</w:t>
      </w:r>
    </w:p>
    <w:p w:rsidR="007708DE" w:rsidRPr="003875E8" w:rsidRDefault="007708DE" w:rsidP="009B422B">
      <w:pPr>
        <w:spacing w:after="0" w:line="240" w:lineRule="auto"/>
        <w:ind w:firstLine="480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1250A6" w:rsidRPr="003875E8" w:rsidRDefault="001250A6" w:rsidP="00510081">
      <w:pPr>
        <w:pStyle w:val="a8"/>
        <w:tabs>
          <w:tab w:val="clear" w:pos="993"/>
          <w:tab w:val="left" w:pos="0"/>
          <w:tab w:val="left" w:pos="567"/>
        </w:tabs>
        <w:ind w:firstLine="567"/>
        <w:rPr>
          <w:sz w:val="12"/>
          <w:szCs w:val="12"/>
          <w:highlight w:val="yellow"/>
        </w:rPr>
      </w:pPr>
    </w:p>
    <w:p w:rsidR="000432CF" w:rsidRPr="00F76453" w:rsidRDefault="000432CF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DD123E" w:rsidRDefault="00DD123E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123E" w:rsidRDefault="00DD123E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123E" w:rsidRDefault="00DD123E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123E" w:rsidRDefault="00DD123E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081" w:rsidRDefault="00510081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4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Структура активов Фонда на 01.</w:t>
      </w:r>
      <w:r w:rsidR="00676E98" w:rsidRPr="00F76453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E612EC" w:rsidRPr="00F76453">
        <w:rPr>
          <w:rFonts w:ascii="Times New Roman" w:eastAsia="Times New Roman" w:hAnsi="Times New Roman"/>
          <w:b/>
          <w:sz w:val="28"/>
          <w:szCs w:val="28"/>
          <w:lang w:eastAsia="ru-RU"/>
        </w:rPr>
        <w:t>.2014</w:t>
      </w:r>
      <w:r w:rsidRPr="00F76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DD123E" w:rsidRPr="00F76453" w:rsidRDefault="00DD123E" w:rsidP="0051008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081" w:rsidRPr="003875E8" w:rsidRDefault="00510081" w:rsidP="005100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5"/>
      </w:tblGrid>
      <w:tr w:rsidR="00510081" w:rsidRPr="003875E8" w:rsidTr="000432CF">
        <w:trPr>
          <w:trHeight w:val="454"/>
        </w:trPr>
        <w:tc>
          <w:tcPr>
            <w:tcW w:w="4785" w:type="dxa"/>
          </w:tcPr>
          <w:p w:rsidR="00510081" w:rsidRPr="00F76453" w:rsidRDefault="00510081" w:rsidP="005100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4785" w:type="dxa"/>
          </w:tcPr>
          <w:p w:rsidR="00510081" w:rsidRPr="00F76453" w:rsidRDefault="00510081" w:rsidP="005100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депозита, млн. рублей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F76453" w:rsidRDefault="00292F8F" w:rsidP="005C4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Сибирский банк ОАО «Сбербанк России»</w:t>
            </w:r>
          </w:p>
        </w:tc>
        <w:tc>
          <w:tcPr>
            <w:tcW w:w="4785" w:type="dxa"/>
            <w:vAlign w:val="center"/>
          </w:tcPr>
          <w:p w:rsidR="00292F8F" w:rsidRPr="00F76453" w:rsidRDefault="00F76453" w:rsidP="005C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3875E8" w:rsidRDefault="00292F8F" w:rsidP="005C4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645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Банк «Левобережный» (ОАО)</w:t>
            </w:r>
          </w:p>
        </w:tc>
        <w:tc>
          <w:tcPr>
            <w:tcW w:w="4785" w:type="dxa"/>
            <w:vAlign w:val="center"/>
          </w:tcPr>
          <w:p w:rsidR="00292F8F" w:rsidRPr="003875E8" w:rsidRDefault="00F76453" w:rsidP="005C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F76453" w:rsidRDefault="00292F8F" w:rsidP="005C4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АКИБ «Образование» (ЗАО)</w:t>
            </w:r>
          </w:p>
        </w:tc>
        <w:tc>
          <w:tcPr>
            <w:tcW w:w="4785" w:type="dxa"/>
            <w:vAlign w:val="center"/>
          </w:tcPr>
          <w:p w:rsidR="00292F8F" w:rsidRPr="00F76453" w:rsidRDefault="00F76453" w:rsidP="005C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F76453" w:rsidRDefault="00292F8F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ОАО КБ «Акцепт»</w:t>
            </w:r>
          </w:p>
        </w:tc>
        <w:tc>
          <w:tcPr>
            <w:tcW w:w="4785" w:type="dxa"/>
            <w:vAlign w:val="center"/>
          </w:tcPr>
          <w:p w:rsidR="00292F8F" w:rsidRPr="00F76453" w:rsidRDefault="00F76453" w:rsidP="0067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76453" w:rsidRPr="003875E8" w:rsidTr="000432CF">
        <w:trPr>
          <w:trHeight w:val="454"/>
        </w:trPr>
        <w:tc>
          <w:tcPr>
            <w:tcW w:w="4785" w:type="dxa"/>
            <w:vAlign w:val="center"/>
          </w:tcPr>
          <w:p w:rsidR="00F76453" w:rsidRPr="00F76453" w:rsidRDefault="00F76453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ВТБ24</w:t>
            </w:r>
          </w:p>
        </w:tc>
        <w:tc>
          <w:tcPr>
            <w:tcW w:w="4785" w:type="dxa"/>
            <w:vAlign w:val="center"/>
          </w:tcPr>
          <w:p w:rsidR="00F76453" w:rsidRPr="00F76453" w:rsidRDefault="00F76453" w:rsidP="0067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C0A5B" w:rsidRPr="003875E8" w:rsidTr="000432CF">
        <w:trPr>
          <w:trHeight w:val="454"/>
        </w:trPr>
        <w:tc>
          <w:tcPr>
            <w:tcW w:w="4785" w:type="dxa"/>
            <w:vAlign w:val="center"/>
          </w:tcPr>
          <w:p w:rsidR="009C0A5B" w:rsidRPr="00F76453" w:rsidRDefault="009C0A5B" w:rsidP="005C44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ОАО Банк ЗЕНИТ</w:t>
            </w:r>
          </w:p>
        </w:tc>
        <w:tc>
          <w:tcPr>
            <w:tcW w:w="4785" w:type="dxa"/>
            <w:vAlign w:val="center"/>
          </w:tcPr>
          <w:p w:rsidR="009C0A5B" w:rsidRPr="00F76453" w:rsidRDefault="00F76453" w:rsidP="005C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F76453" w:rsidRDefault="009C0A5B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"Алемар" ОАО "Межтопэнергобанк"</w:t>
            </w:r>
          </w:p>
        </w:tc>
        <w:tc>
          <w:tcPr>
            <w:tcW w:w="4785" w:type="dxa"/>
            <w:vAlign w:val="center"/>
          </w:tcPr>
          <w:p w:rsidR="00292F8F" w:rsidRPr="00F76453" w:rsidRDefault="00F76453" w:rsidP="0051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292F8F" w:rsidRPr="003875E8" w:rsidTr="000432CF">
        <w:trPr>
          <w:trHeight w:val="454"/>
        </w:trPr>
        <w:tc>
          <w:tcPr>
            <w:tcW w:w="4785" w:type="dxa"/>
            <w:vAlign w:val="center"/>
          </w:tcPr>
          <w:p w:rsidR="00292F8F" w:rsidRPr="00F76453" w:rsidRDefault="009C0A5B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ООО "Внешпромбанк"</w:t>
            </w:r>
          </w:p>
        </w:tc>
        <w:tc>
          <w:tcPr>
            <w:tcW w:w="4785" w:type="dxa"/>
            <w:vAlign w:val="center"/>
          </w:tcPr>
          <w:p w:rsidR="00292F8F" w:rsidRPr="00F76453" w:rsidRDefault="00F76453" w:rsidP="0051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76453" w:rsidRPr="003875E8" w:rsidTr="000432CF">
        <w:trPr>
          <w:trHeight w:val="454"/>
        </w:trPr>
        <w:tc>
          <w:tcPr>
            <w:tcW w:w="4785" w:type="dxa"/>
            <w:vAlign w:val="center"/>
          </w:tcPr>
          <w:p w:rsidR="00F76453" w:rsidRPr="00F76453" w:rsidRDefault="00F76453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Промсвязьбанк </w:t>
            </w:r>
          </w:p>
        </w:tc>
        <w:tc>
          <w:tcPr>
            <w:tcW w:w="4785" w:type="dxa"/>
            <w:vAlign w:val="center"/>
          </w:tcPr>
          <w:p w:rsidR="00F76453" w:rsidRPr="00F76453" w:rsidRDefault="00F76453" w:rsidP="0051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76453" w:rsidRPr="003875E8" w:rsidTr="000432CF">
        <w:trPr>
          <w:trHeight w:val="454"/>
        </w:trPr>
        <w:tc>
          <w:tcPr>
            <w:tcW w:w="4785" w:type="dxa"/>
            <w:vAlign w:val="center"/>
          </w:tcPr>
          <w:p w:rsidR="00F76453" w:rsidRDefault="00F76453" w:rsidP="0051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«Открытие»</w:t>
            </w:r>
          </w:p>
        </w:tc>
        <w:tc>
          <w:tcPr>
            <w:tcW w:w="4785" w:type="dxa"/>
            <w:vAlign w:val="center"/>
          </w:tcPr>
          <w:p w:rsidR="00F76453" w:rsidRDefault="00F76453" w:rsidP="0051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</w:t>
            </w:r>
            <w:r w:rsidR="005C2A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A5B" w:rsidRPr="003875E8" w:rsidTr="000432CF">
        <w:trPr>
          <w:trHeight w:val="454"/>
        </w:trPr>
        <w:tc>
          <w:tcPr>
            <w:tcW w:w="4785" w:type="dxa"/>
            <w:vAlign w:val="center"/>
          </w:tcPr>
          <w:p w:rsidR="009C0A5B" w:rsidRPr="003875E8" w:rsidRDefault="00DD123E" w:rsidP="00DD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r w:rsidRPr="00DD123E">
              <w:rPr>
                <w:rFonts w:ascii="Times New Roman" w:hAnsi="Times New Roman"/>
                <w:sz w:val="24"/>
                <w:szCs w:val="24"/>
              </w:rPr>
              <w:t>РОСТ-БАНК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  <w:vAlign w:val="center"/>
          </w:tcPr>
          <w:p w:rsidR="009C0A5B" w:rsidRPr="003875E8" w:rsidRDefault="00DD123E" w:rsidP="0051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123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73652B" w:rsidRDefault="0073652B" w:rsidP="00292F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  <w:highlight w:val="yellow"/>
        </w:rPr>
      </w:pPr>
    </w:p>
    <w:p w:rsidR="00DD123E" w:rsidRPr="003875E8" w:rsidRDefault="00DD123E" w:rsidP="00292F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  <w:highlight w:val="yellow"/>
        </w:rPr>
      </w:pPr>
    </w:p>
    <w:p w:rsidR="00B929A5" w:rsidRPr="00DD123E" w:rsidRDefault="00510081" w:rsidP="00C40B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123E">
        <w:rPr>
          <w:rFonts w:ascii="Times New Roman" w:hAnsi="Times New Roman"/>
          <w:color w:val="000000"/>
          <w:sz w:val="28"/>
          <w:szCs w:val="28"/>
        </w:rPr>
        <w:t xml:space="preserve">Общая сумма размещенных средств на депозитах составляет </w:t>
      </w:r>
      <w:r w:rsidR="005C2A92">
        <w:rPr>
          <w:rFonts w:ascii="Times New Roman" w:hAnsi="Times New Roman"/>
          <w:color w:val="000000"/>
          <w:sz w:val="28"/>
          <w:szCs w:val="28"/>
        </w:rPr>
        <w:t>940,7</w:t>
      </w:r>
      <w:r w:rsidR="00DD123E" w:rsidRPr="00DD12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23E">
        <w:rPr>
          <w:rFonts w:ascii="Times New Roman" w:hAnsi="Times New Roman"/>
          <w:color w:val="000000"/>
          <w:sz w:val="28"/>
          <w:szCs w:val="28"/>
        </w:rPr>
        <w:t>млн. рублей. Средняя доходность от размещени</w:t>
      </w:r>
      <w:r w:rsidR="00010B24" w:rsidRPr="00DD123E">
        <w:rPr>
          <w:rFonts w:ascii="Times New Roman" w:hAnsi="Times New Roman"/>
          <w:color w:val="000000"/>
          <w:sz w:val="28"/>
          <w:szCs w:val="28"/>
        </w:rPr>
        <w:t xml:space="preserve">я средств на депозитах равна </w:t>
      </w:r>
      <w:r w:rsidR="00C40BF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D123E" w:rsidRPr="00DD123E">
        <w:rPr>
          <w:rFonts w:ascii="Times New Roman" w:hAnsi="Times New Roman"/>
          <w:color w:val="000000"/>
          <w:sz w:val="28"/>
          <w:szCs w:val="28"/>
        </w:rPr>
        <w:t xml:space="preserve">8,96 </w:t>
      </w:r>
      <w:r w:rsidRPr="00DD123E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0432CF" w:rsidRPr="00DD123E" w:rsidRDefault="000432CF" w:rsidP="00C40B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CF" w:rsidRDefault="000432CF" w:rsidP="000432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123E">
        <w:rPr>
          <w:rFonts w:ascii="Times New Roman" w:hAnsi="Times New Roman"/>
          <w:color w:val="000000"/>
          <w:sz w:val="28"/>
          <w:szCs w:val="28"/>
        </w:rPr>
        <w:t>Исполнительный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О.И. Дронова</w:t>
      </w:r>
    </w:p>
    <w:sectPr w:rsidR="000432CF" w:rsidSect="00CE6BAE">
      <w:headerReference w:type="default" r:id="rId11"/>
      <w:footerReference w:type="default" r:id="rId12"/>
      <w:pgSz w:w="11906" w:h="16838"/>
      <w:pgMar w:top="1134" w:right="851" w:bottom="567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1F" w:rsidRDefault="00187F1F" w:rsidP="001D10F2">
      <w:pPr>
        <w:spacing w:after="0" w:line="240" w:lineRule="auto"/>
      </w:pPr>
      <w:r>
        <w:separator/>
      </w:r>
    </w:p>
  </w:endnote>
  <w:endnote w:type="continuationSeparator" w:id="1">
    <w:p w:rsidR="00187F1F" w:rsidRDefault="00187F1F" w:rsidP="001D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2B" w:rsidRDefault="0073652B" w:rsidP="00C17A51">
    <w:pPr>
      <w:pStyle w:val="ac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1F" w:rsidRDefault="00187F1F" w:rsidP="001D10F2">
      <w:pPr>
        <w:spacing w:after="0" w:line="240" w:lineRule="auto"/>
      </w:pPr>
      <w:r>
        <w:separator/>
      </w:r>
    </w:p>
  </w:footnote>
  <w:footnote w:type="continuationSeparator" w:id="1">
    <w:p w:rsidR="00187F1F" w:rsidRDefault="00187F1F" w:rsidP="001D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2B" w:rsidRDefault="00991253">
    <w:pPr>
      <w:pStyle w:val="aa"/>
      <w:jc w:val="center"/>
    </w:pPr>
    <w:fldSimple w:instr=" PAGE   \* MERGEFORMAT ">
      <w:r w:rsidR="00CB6F01">
        <w:rPr>
          <w:noProof/>
        </w:rPr>
        <w:t>5</w:t>
      </w:r>
    </w:fldSimple>
  </w:p>
  <w:p w:rsidR="0073652B" w:rsidRDefault="0073652B" w:rsidP="00A67B2B">
    <w:pPr>
      <w:pStyle w:val="aa"/>
      <w:tabs>
        <w:tab w:val="clear" w:pos="4677"/>
        <w:tab w:val="clear" w:pos="9355"/>
        <w:tab w:val="left" w:pos="36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3D"/>
    <w:rsid w:val="00005B99"/>
    <w:rsid w:val="0000618E"/>
    <w:rsid w:val="00010B24"/>
    <w:rsid w:val="000124AF"/>
    <w:rsid w:val="0002055C"/>
    <w:rsid w:val="000224F0"/>
    <w:rsid w:val="00025158"/>
    <w:rsid w:val="0003183D"/>
    <w:rsid w:val="000329A9"/>
    <w:rsid w:val="00033AED"/>
    <w:rsid w:val="0003589B"/>
    <w:rsid w:val="00035985"/>
    <w:rsid w:val="00037BE5"/>
    <w:rsid w:val="000432CF"/>
    <w:rsid w:val="00045506"/>
    <w:rsid w:val="00045F64"/>
    <w:rsid w:val="00055462"/>
    <w:rsid w:val="00071A42"/>
    <w:rsid w:val="00074726"/>
    <w:rsid w:val="00081DA8"/>
    <w:rsid w:val="00085C68"/>
    <w:rsid w:val="000879DA"/>
    <w:rsid w:val="00091F86"/>
    <w:rsid w:val="00096D52"/>
    <w:rsid w:val="000B1A5C"/>
    <w:rsid w:val="000B7649"/>
    <w:rsid w:val="000B7FD7"/>
    <w:rsid w:val="000C6B0D"/>
    <w:rsid w:val="000C6B12"/>
    <w:rsid w:val="000D1148"/>
    <w:rsid w:val="000D4934"/>
    <w:rsid w:val="000D60F7"/>
    <w:rsid w:val="000E55DE"/>
    <w:rsid w:val="000E56A6"/>
    <w:rsid w:val="000F01CB"/>
    <w:rsid w:val="000F7DDC"/>
    <w:rsid w:val="00102640"/>
    <w:rsid w:val="001056D6"/>
    <w:rsid w:val="0010609B"/>
    <w:rsid w:val="00115706"/>
    <w:rsid w:val="001224EC"/>
    <w:rsid w:val="001250A6"/>
    <w:rsid w:val="0013744A"/>
    <w:rsid w:val="00140403"/>
    <w:rsid w:val="001436D9"/>
    <w:rsid w:val="00151FC2"/>
    <w:rsid w:val="001533A6"/>
    <w:rsid w:val="00164D21"/>
    <w:rsid w:val="00175D91"/>
    <w:rsid w:val="00180CAD"/>
    <w:rsid w:val="00182100"/>
    <w:rsid w:val="00187F1F"/>
    <w:rsid w:val="00190B70"/>
    <w:rsid w:val="0019386C"/>
    <w:rsid w:val="001A26C6"/>
    <w:rsid w:val="001A56B7"/>
    <w:rsid w:val="001C09BF"/>
    <w:rsid w:val="001C0F19"/>
    <w:rsid w:val="001D04AD"/>
    <w:rsid w:val="001D06E5"/>
    <w:rsid w:val="001D10F2"/>
    <w:rsid w:val="001D5162"/>
    <w:rsid w:val="001E2CC4"/>
    <w:rsid w:val="001E61BC"/>
    <w:rsid w:val="001F2A33"/>
    <w:rsid w:val="001F374F"/>
    <w:rsid w:val="001F760D"/>
    <w:rsid w:val="001F7F82"/>
    <w:rsid w:val="00204E78"/>
    <w:rsid w:val="00205E7A"/>
    <w:rsid w:val="00222446"/>
    <w:rsid w:val="00226F8C"/>
    <w:rsid w:val="00230EA0"/>
    <w:rsid w:val="002401DD"/>
    <w:rsid w:val="00253F7F"/>
    <w:rsid w:val="002564D8"/>
    <w:rsid w:val="00270D42"/>
    <w:rsid w:val="00271C6D"/>
    <w:rsid w:val="00275372"/>
    <w:rsid w:val="00277FC5"/>
    <w:rsid w:val="00281DEE"/>
    <w:rsid w:val="00284B4A"/>
    <w:rsid w:val="00284EC0"/>
    <w:rsid w:val="002876E9"/>
    <w:rsid w:val="00292F8F"/>
    <w:rsid w:val="00295AE6"/>
    <w:rsid w:val="00297102"/>
    <w:rsid w:val="002A24BC"/>
    <w:rsid w:val="002D73BE"/>
    <w:rsid w:val="002E052E"/>
    <w:rsid w:val="002E0EB9"/>
    <w:rsid w:val="002E1666"/>
    <w:rsid w:val="002E1C30"/>
    <w:rsid w:val="002E4F23"/>
    <w:rsid w:val="002E5DBC"/>
    <w:rsid w:val="002F0CAC"/>
    <w:rsid w:val="002F0E28"/>
    <w:rsid w:val="0030037C"/>
    <w:rsid w:val="00304415"/>
    <w:rsid w:val="00304DFC"/>
    <w:rsid w:val="0030666A"/>
    <w:rsid w:val="0030779B"/>
    <w:rsid w:val="0031482C"/>
    <w:rsid w:val="00315405"/>
    <w:rsid w:val="0032237D"/>
    <w:rsid w:val="00337579"/>
    <w:rsid w:val="003437F3"/>
    <w:rsid w:val="00346780"/>
    <w:rsid w:val="00360137"/>
    <w:rsid w:val="003665FE"/>
    <w:rsid w:val="003674AC"/>
    <w:rsid w:val="00380571"/>
    <w:rsid w:val="003875E8"/>
    <w:rsid w:val="00391036"/>
    <w:rsid w:val="003978F3"/>
    <w:rsid w:val="003A37CC"/>
    <w:rsid w:val="003A3969"/>
    <w:rsid w:val="003A41EF"/>
    <w:rsid w:val="003A7031"/>
    <w:rsid w:val="003B6AE7"/>
    <w:rsid w:val="003C02DC"/>
    <w:rsid w:val="003C2420"/>
    <w:rsid w:val="003C70B2"/>
    <w:rsid w:val="003D0567"/>
    <w:rsid w:val="003D2608"/>
    <w:rsid w:val="003F6DBC"/>
    <w:rsid w:val="00401498"/>
    <w:rsid w:val="00403D5F"/>
    <w:rsid w:val="0040550A"/>
    <w:rsid w:val="00411EC4"/>
    <w:rsid w:val="0041393C"/>
    <w:rsid w:val="00414DC6"/>
    <w:rsid w:val="00423B8E"/>
    <w:rsid w:val="004275CB"/>
    <w:rsid w:val="00432367"/>
    <w:rsid w:val="00432F86"/>
    <w:rsid w:val="004416B1"/>
    <w:rsid w:val="00453527"/>
    <w:rsid w:val="00461F91"/>
    <w:rsid w:val="004674AC"/>
    <w:rsid w:val="0047756B"/>
    <w:rsid w:val="00490CF2"/>
    <w:rsid w:val="00491DCA"/>
    <w:rsid w:val="004946FE"/>
    <w:rsid w:val="00496F91"/>
    <w:rsid w:val="004A6D22"/>
    <w:rsid w:val="004B5F90"/>
    <w:rsid w:val="004B6C8D"/>
    <w:rsid w:val="004C222F"/>
    <w:rsid w:val="004C24E5"/>
    <w:rsid w:val="004C4974"/>
    <w:rsid w:val="004C6B6B"/>
    <w:rsid w:val="004E2B94"/>
    <w:rsid w:val="004F4FF5"/>
    <w:rsid w:val="00502784"/>
    <w:rsid w:val="00506C0F"/>
    <w:rsid w:val="00510081"/>
    <w:rsid w:val="00513787"/>
    <w:rsid w:val="00523E81"/>
    <w:rsid w:val="00533B00"/>
    <w:rsid w:val="00535119"/>
    <w:rsid w:val="00553C76"/>
    <w:rsid w:val="00554BDF"/>
    <w:rsid w:val="00571413"/>
    <w:rsid w:val="0059371A"/>
    <w:rsid w:val="005B28F0"/>
    <w:rsid w:val="005B5CCA"/>
    <w:rsid w:val="005B5E36"/>
    <w:rsid w:val="005B7C2C"/>
    <w:rsid w:val="005C1704"/>
    <w:rsid w:val="005C2A92"/>
    <w:rsid w:val="005C4462"/>
    <w:rsid w:val="005D151B"/>
    <w:rsid w:val="005D173C"/>
    <w:rsid w:val="005D6577"/>
    <w:rsid w:val="005E3DE9"/>
    <w:rsid w:val="005F4779"/>
    <w:rsid w:val="005F5FFA"/>
    <w:rsid w:val="00601C53"/>
    <w:rsid w:val="00602507"/>
    <w:rsid w:val="00627762"/>
    <w:rsid w:val="00637576"/>
    <w:rsid w:val="00641305"/>
    <w:rsid w:val="0064385A"/>
    <w:rsid w:val="006521F5"/>
    <w:rsid w:val="00652932"/>
    <w:rsid w:val="00655371"/>
    <w:rsid w:val="0066135A"/>
    <w:rsid w:val="00674755"/>
    <w:rsid w:val="006767EE"/>
    <w:rsid w:val="00676E98"/>
    <w:rsid w:val="00677D5F"/>
    <w:rsid w:val="0068371C"/>
    <w:rsid w:val="00690433"/>
    <w:rsid w:val="00694EEF"/>
    <w:rsid w:val="006A3249"/>
    <w:rsid w:val="006A3EF0"/>
    <w:rsid w:val="006B090D"/>
    <w:rsid w:val="006B2BC8"/>
    <w:rsid w:val="006C4A11"/>
    <w:rsid w:val="006C6F11"/>
    <w:rsid w:val="006D46B8"/>
    <w:rsid w:val="006E3569"/>
    <w:rsid w:val="006E6BC5"/>
    <w:rsid w:val="006F2A3E"/>
    <w:rsid w:val="00700A10"/>
    <w:rsid w:val="00720839"/>
    <w:rsid w:val="00721731"/>
    <w:rsid w:val="0073652B"/>
    <w:rsid w:val="007507E8"/>
    <w:rsid w:val="00761D9B"/>
    <w:rsid w:val="007708DE"/>
    <w:rsid w:val="00770CFD"/>
    <w:rsid w:val="00771023"/>
    <w:rsid w:val="00780361"/>
    <w:rsid w:val="00781B5C"/>
    <w:rsid w:val="00782CFD"/>
    <w:rsid w:val="00782ED4"/>
    <w:rsid w:val="00785477"/>
    <w:rsid w:val="00786A68"/>
    <w:rsid w:val="007902C8"/>
    <w:rsid w:val="007A36C3"/>
    <w:rsid w:val="007B2ADE"/>
    <w:rsid w:val="007C72CF"/>
    <w:rsid w:val="007C7881"/>
    <w:rsid w:val="007D5343"/>
    <w:rsid w:val="007F0225"/>
    <w:rsid w:val="007F7E81"/>
    <w:rsid w:val="00807326"/>
    <w:rsid w:val="0082162D"/>
    <w:rsid w:val="00855E25"/>
    <w:rsid w:val="008563CD"/>
    <w:rsid w:val="0087190B"/>
    <w:rsid w:val="00882CA4"/>
    <w:rsid w:val="00883A97"/>
    <w:rsid w:val="00885104"/>
    <w:rsid w:val="00892A7F"/>
    <w:rsid w:val="008A0BAC"/>
    <w:rsid w:val="008A41E7"/>
    <w:rsid w:val="008B1ED8"/>
    <w:rsid w:val="008C1C0C"/>
    <w:rsid w:val="008C1D0E"/>
    <w:rsid w:val="008C32FA"/>
    <w:rsid w:val="008D1A3F"/>
    <w:rsid w:val="00901073"/>
    <w:rsid w:val="00901D26"/>
    <w:rsid w:val="00903C5E"/>
    <w:rsid w:val="0091704F"/>
    <w:rsid w:val="009170BB"/>
    <w:rsid w:val="00922489"/>
    <w:rsid w:val="00934DF4"/>
    <w:rsid w:val="009534D4"/>
    <w:rsid w:val="00953CEB"/>
    <w:rsid w:val="00955F42"/>
    <w:rsid w:val="00956392"/>
    <w:rsid w:val="00966D2E"/>
    <w:rsid w:val="009753B4"/>
    <w:rsid w:val="00977F64"/>
    <w:rsid w:val="0099089B"/>
    <w:rsid w:val="00991253"/>
    <w:rsid w:val="00991DA1"/>
    <w:rsid w:val="0099374E"/>
    <w:rsid w:val="0099780B"/>
    <w:rsid w:val="009B1E27"/>
    <w:rsid w:val="009B422B"/>
    <w:rsid w:val="009B4E53"/>
    <w:rsid w:val="009B5502"/>
    <w:rsid w:val="009B7B29"/>
    <w:rsid w:val="009C0A5B"/>
    <w:rsid w:val="009C16DA"/>
    <w:rsid w:val="009C365A"/>
    <w:rsid w:val="009C5A58"/>
    <w:rsid w:val="009D3EC9"/>
    <w:rsid w:val="009D6402"/>
    <w:rsid w:val="009D6EC3"/>
    <w:rsid w:val="009E5B98"/>
    <w:rsid w:val="009F7C5E"/>
    <w:rsid w:val="00A03782"/>
    <w:rsid w:val="00A10565"/>
    <w:rsid w:val="00A11310"/>
    <w:rsid w:val="00A16581"/>
    <w:rsid w:val="00A243CE"/>
    <w:rsid w:val="00A24A25"/>
    <w:rsid w:val="00A30412"/>
    <w:rsid w:val="00A36A2A"/>
    <w:rsid w:val="00A45A91"/>
    <w:rsid w:val="00A4683B"/>
    <w:rsid w:val="00A54C51"/>
    <w:rsid w:val="00A62A36"/>
    <w:rsid w:val="00A63D0E"/>
    <w:rsid w:val="00A67B2B"/>
    <w:rsid w:val="00A97419"/>
    <w:rsid w:val="00AA2D4A"/>
    <w:rsid w:val="00AA331E"/>
    <w:rsid w:val="00AC1581"/>
    <w:rsid w:val="00AC3F94"/>
    <w:rsid w:val="00AC6624"/>
    <w:rsid w:val="00AE296C"/>
    <w:rsid w:val="00B009FA"/>
    <w:rsid w:val="00B03546"/>
    <w:rsid w:val="00B067E9"/>
    <w:rsid w:val="00B11B25"/>
    <w:rsid w:val="00B27DA8"/>
    <w:rsid w:val="00B343C7"/>
    <w:rsid w:val="00B378C8"/>
    <w:rsid w:val="00B40AD5"/>
    <w:rsid w:val="00B51AD1"/>
    <w:rsid w:val="00B5287C"/>
    <w:rsid w:val="00B5318B"/>
    <w:rsid w:val="00B5382B"/>
    <w:rsid w:val="00B64E61"/>
    <w:rsid w:val="00B869A4"/>
    <w:rsid w:val="00B929A5"/>
    <w:rsid w:val="00BA4248"/>
    <w:rsid w:val="00BA764C"/>
    <w:rsid w:val="00BB57A0"/>
    <w:rsid w:val="00BB62A7"/>
    <w:rsid w:val="00BC3073"/>
    <w:rsid w:val="00BC3444"/>
    <w:rsid w:val="00BC3536"/>
    <w:rsid w:val="00BD4EB3"/>
    <w:rsid w:val="00BE7DB3"/>
    <w:rsid w:val="00C000C3"/>
    <w:rsid w:val="00C00809"/>
    <w:rsid w:val="00C108DB"/>
    <w:rsid w:val="00C14140"/>
    <w:rsid w:val="00C14878"/>
    <w:rsid w:val="00C14B18"/>
    <w:rsid w:val="00C17A51"/>
    <w:rsid w:val="00C216CA"/>
    <w:rsid w:val="00C21C07"/>
    <w:rsid w:val="00C35EC6"/>
    <w:rsid w:val="00C40BF9"/>
    <w:rsid w:val="00C44700"/>
    <w:rsid w:val="00C5243E"/>
    <w:rsid w:val="00C77065"/>
    <w:rsid w:val="00CB2F53"/>
    <w:rsid w:val="00CB5D01"/>
    <w:rsid w:val="00CB6D99"/>
    <w:rsid w:val="00CB6F01"/>
    <w:rsid w:val="00CB7AA6"/>
    <w:rsid w:val="00CC27C3"/>
    <w:rsid w:val="00CC5ADC"/>
    <w:rsid w:val="00CD0787"/>
    <w:rsid w:val="00CD48D2"/>
    <w:rsid w:val="00CD70FD"/>
    <w:rsid w:val="00CE4257"/>
    <w:rsid w:val="00CE6ADF"/>
    <w:rsid w:val="00CE6BAE"/>
    <w:rsid w:val="00CF2CB3"/>
    <w:rsid w:val="00CF53D7"/>
    <w:rsid w:val="00D01598"/>
    <w:rsid w:val="00D03553"/>
    <w:rsid w:val="00D070DE"/>
    <w:rsid w:val="00D10547"/>
    <w:rsid w:val="00D20B37"/>
    <w:rsid w:val="00D2464F"/>
    <w:rsid w:val="00D33CFE"/>
    <w:rsid w:val="00D340F6"/>
    <w:rsid w:val="00D36E88"/>
    <w:rsid w:val="00D37525"/>
    <w:rsid w:val="00D46E7A"/>
    <w:rsid w:val="00D70044"/>
    <w:rsid w:val="00D72F48"/>
    <w:rsid w:val="00D75C68"/>
    <w:rsid w:val="00D77819"/>
    <w:rsid w:val="00D8068E"/>
    <w:rsid w:val="00D91DA8"/>
    <w:rsid w:val="00D93E0E"/>
    <w:rsid w:val="00D96186"/>
    <w:rsid w:val="00DA295F"/>
    <w:rsid w:val="00DA60B7"/>
    <w:rsid w:val="00DA7C15"/>
    <w:rsid w:val="00DB2BD7"/>
    <w:rsid w:val="00DB5D8E"/>
    <w:rsid w:val="00DB7CFF"/>
    <w:rsid w:val="00DC4202"/>
    <w:rsid w:val="00DC6AC6"/>
    <w:rsid w:val="00DC6E1F"/>
    <w:rsid w:val="00DC72D1"/>
    <w:rsid w:val="00DD123E"/>
    <w:rsid w:val="00DD2CB6"/>
    <w:rsid w:val="00DE4DE5"/>
    <w:rsid w:val="00DF4479"/>
    <w:rsid w:val="00E032EC"/>
    <w:rsid w:val="00E04B97"/>
    <w:rsid w:val="00E147CE"/>
    <w:rsid w:val="00E1611A"/>
    <w:rsid w:val="00E34953"/>
    <w:rsid w:val="00E3652E"/>
    <w:rsid w:val="00E42B36"/>
    <w:rsid w:val="00E51599"/>
    <w:rsid w:val="00E612EC"/>
    <w:rsid w:val="00E6542E"/>
    <w:rsid w:val="00E703EB"/>
    <w:rsid w:val="00E70537"/>
    <w:rsid w:val="00E737C0"/>
    <w:rsid w:val="00E73853"/>
    <w:rsid w:val="00E81B34"/>
    <w:rsid w:val="00E82DD1"/>
    <w:rsid w:val="00E85717"/>
    <w:rsid w:val="00E909FE"/>
    <w:rsid w:val="00E92F26"/>
    <w:rsid w:val="00E961F9"/>
    <w:rsid w:val="00E978B2"/>
    <w:rsid w:val="00EA3BA0"/>
    <w:rsid w:val="00EB008F"/>
    <w:rsid w:val="00EB418B"/>
    <w:rsid w:val="00EB54A3"/>
    <w:rsid w:val="00EB59BC"/>
    <w:rsid w:val="00EC02E7"/>
    <w:rsid w:val="00EC65E4"/>
    <w:rsid w:val="00EE29B4"/>
    <w:rsid w:val="00EF5C4B"/>
    <w:rsid w:val="00F04F6F"/>
    <w:rsid w:val="00F059FD"/>
    <w:rsid w:val="00F06236"/>
    <w:rsid w:val="00F135CC"/>
    <w:rsid w:val="00F153ED"/>
    <w:rsid w:val="00F274DE"/>
    <w:rsid w:val="00F3087E"/>
    <w:rsid w:val="00F322A0"/>
    <w:rsid w:val="00F40802"/>
    <w:rsid w:val="00F43F7C"/>
    <w:rsid w:val="00F56250"/>
    <w:rsid w:val="00F61942"/>
    <w:rsid w:val="00F6289B"/>
    <w:rsid w:val="00F6428E"/>
    <w:rsid w:val="00F708A3"/>
    <w:rsid w:val="00F76453"/>
    <w:rsid w:val="00F83321"/>
    <w:rsid w:val="00F84571"/>
    <w:rsid w:val="00F90D01"/>
    <w:rsid w:val="00F93867"/>
    <w:rsid w:val="00F968CA"/>
    <w:rsid w:val="00F9695D"/>
    <w:rsid w:val="00FA31FC"/>
    <w:rsid w:val="00FC43B7"/>
    <w:rsid w:val="00FE14A8"/>
    <w:rsid w:val="00FE5391"/>
    <w:rsid w:val="00FE5C77"/>
    <w:rsid w:val="00FE6B0B"/>
    <w:rsid w:val="00FF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4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3183D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3A773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83D"/>
    <w:rPr>
      <w:rFonts w:ascii="Times New Roman" w:eastAsia="Times New Roman" w:hAnsi="Times New Roman" w:cs="Times New Roman"/>
      <w:b/>
      <w:bCs/>
      <w:color w:val="3A7737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31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67EE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3C2420"/>
    <w:pPr>
      <w:tabs>
        <w:tab w:val="left" w:pos="993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C2420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1D10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0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D10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10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\&#1054;&#1058;&#1063;&#1025;&#1058;&#1067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\&#1054;&#1058;&#1063;&#1025;&#1058;&#1067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\&#1054;&#1058;&#1063;&#1025;&#1058;&#1067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\&#1054;&#1058;&#1063;&#1025;&#1058;&#1067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0.26457048446633413"/>
          <c:y val="3.5951403191817312E-2"/>
          <c:w val="0.7062130480701867"/>
          <c:h val="0.8561886048240466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поручительств, млню руб.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1">
                  <c:v>Алемар</c:v>
                </c:pt>
                <c:pt idx="2">
                  <c:v>РОСТ БАНК</c:v>
                </c:pt>
                <c:pt idx="3">
                  <c:v>ЗЕНИТ</c:v>
                </c:pt>
                <c:pt idx="4">
                  <c:v>Металлинвестбанк</c:v>
                </c:pt>
                <c:pt idx="5">
                  <c:v>Инвестторгбанк</c:v>
                </c:pt>
                <c:pt idx="6">
                  <c:v>Промсвязьбанк</c:v>
                </c:pt>
                <c:pt idx="7">
                  <c:v>Ланта-Банк</c:v>
                </c:pt>
                <c:pt idx="8">
                  <c:v>Запсибкомбанк</c:v>
                </c:pt>
                <c:pt idx="9">
                  <c:v>Банк Москвы</c:v>
                </c:pt>
                <c:pt idx="10">
                  <c:v>Акцепт</c:v>
                </c:pt>
                <c:pt idx="11">
                  <c:v>Интеза</c:v>
                </c:pt>
                <c:pt idx="12">
                  <c:v>ВТБ24</c:v>
                </c:pt>
                <c:pt idx="13">
                  <c:v>Россельхозбанк</c:v>
                </c:pt>
                <c:pt idx="14">
                  <c:v>Образование</c:v>
                </c:pt>
                <c:pt idx="15">
                  <c:v>Новосибирская Лизинговая компания</c:v>
                </c:pt>
                <c:pt idx="16">
                  <c:v>Левобережный</c:v>
                </c:pt>
                <c:pt idx="17">
                  <c:v>Сбербанк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1">
                  <c:v>2.7</c:v>
                </c:pt>
                <c:pt idx="2" formatCode="0.0">
                  <c:v>2.7</c:v>
                </c:pt>
                <c:pt idx="3" formatCode="0.0">
                  <c:v>7</c:v>
                </c:pt>
                <c:pt idx="4">
                  <c:v>3.4</c:v>
                </c:pt>
                <c:pt idx="5">
                  <c:v>14.1</c:v>
                </c:pt>
                <c:pt idx="6">
                  <c:v>13.8</c:v>
                </c:pt>
                <c:pt idx="7">
                  <c:v>4.2</c:v>
                </c:pt>
                <c:pt idx="8" formatCode="0.0">
                  <c:v>3.6</c:v>
                </c:pt>
                <c:pt idx="9" formatCode="0.0">
                  <c:v>23</c:v>
                </c:pt>
                <c:pt idx="10">
                  <c:v>14.5</c:v>
                </c:pt>
                <c:pt idx="11">
                  <c:v>30.4</c:v>
                </c:pt>
                <c:pt idx="12">
                  <c:v>40.300000000000004</c:v>
                </c:pt>
                <c:pt idx="13">
                  <c:v>12.9</c:v>
                </c:pt>
                <c:pt idx="14">
                  <c:v>33.5</c:v>
                </c:pt>
                <c:pt idx="15">
                  <c:v>4.5</c:v>
                </c:pt>
                <c:pt idx="16">
                  <c:v>46.1</c:v>
                </c:pt>
                <c:pt idx="17">
                  <c:v>60.5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финансовых обязательств по выданным поручительствам, млн. руб.</c:v>
                </c:pt>
              </c:strCache>
            </c:strRef>
          </c:tx>
          <c:dLbls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17,2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46, 2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3,0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1">
                  <c:v>Алемар</c:v>
                </c:pt>
                <c:pt idx="2">
                  <c:v>РОСТ БАНК</c:v>
                </c:pt>
                <c:pt idx="3">
                  <c:v>ЗЕНИТ</c:v>
                </c:pt>
                <c:pt idx="4">
                  <c:v>Металлинвестбанк</c:v>
                </c:pt>
                <c:pt idx="5">
                  <c:v>Инвестторгбанк</c:v>
                </c:pt>
                <c:pt idx="6">
                  <c:v>Промсвязьбанк</c:v>
                </c:pt>
                <c:pt idx="7">
                  <c:v>Ланта-Банк</c:v>
                </c:pt>
                <c:pt idx="8">
                  <c:v>Запсибкомбанк</c:v>
                </c:pt>
                <c:pt idx="9">
                  <c:v>Банк Москвы</c:v>
                </c:pt>
                <c:pt idx="10">
                  <c:v>Акцепт</c:v>
                </c:pt>
                <c:pt idx="11">
                  <c:v>Интеза</c:v>
                </c:pt>
                <c:pt idx="12">
                  <c:v>ВТБ24</c:v>
                </c:pt>
                <c:pt idx="13">
                  <c:v>Россельхозбанк</c:v>
                </c:pt>
                <c:pt idx="14">
                  <c:v>Образование</c:v>
                </c:pt>
                <c:pt idx="15">
                  <c:v>Новосибирская Лизинговая компания</c:v>
                </c:pt>
                <c:pt idx="16">
                  <c:v>Левобережный</c:v>
                </c:pt>
                <c:pt idx="17">
                  <c:v>Сбербанк</c:v>
                </c:pt>
              </c:strCache>
            </c:strRef>
          </c:cat>
          <c:val>
            <c:numRef>
              <c:f>Лист1!$C$2:$C$19</c:f>
              <c:numCache>
                <c:formatCode>0.0</c:formatCode>
                <c:ptCount val="18"/>
                <c:pt idx="1">
                  <c:v>3</c:v>
                </c:pt>
                <c:pt idx="2">
                  <c:v>4.5</c:v>
                </c:pt>
                <c:pt idx="3">
                  <c:v>10</c:v>
                </c:pt>
                <c:pt idx="4">
                  <c:v>8</c:v>
                </c:pt>
                <c:pt idx="5" formatCode="General">
                  <c:v>23.5</c:v>
                </c:pt>
                <c:pt idx="6">
                  <c:v>23</c:v>
                </c:pt>
                <c:pt idx="7" formatCode="General">
                  <c:v>6.5</c:v>
                </c:pt>
                <c:pt idx="8">
                  <c:v>5.3</c:v>
                </c:pt>
                <c:pt idx="9">
                  <c:v>48.2</c:v>
                </c:pt>
                <c:pt idx="10" formatCode="General">
                  <c:v>22.9</c:v>
                </c:pt>
                <c:pt idx="11">
                  <c:v>102.7</c:v>
                </c:pt>
                <c:pt idx="12">
                  <c:v>82.2</c:v>
                </c:pt>
                <c:pt idx="13">
                  <c:v>23.2</c:v>
                </c:pt>
                <c:pt idx="14">
                  <c:v>50</c:v>
                </c:pt>
                <c:pt idx="15">
                  <c:v>10.6</c:v>
                </c:pt>
                <c:pt idx="16">
                  <c:v>95</c:v>
                </c:pt>
                <c:pt idx="17">
                  <c:v>196.2</c:v>
                </c:pt>
              </c:numCache>
            </c:numRef>
          </c:val>
        </c:ser>
        <c:dLbls>
          <c:showVal val="1"/>
        </c:dLbls>
        <c:overlap val="-25"/>
        <c:axId val="101289984"/>
        <c:axId val="101291904"/>
      </c:barChart>
      <c:catAx>
        <c:axId val="10128998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291904"/>
        <c:crosses val="autoZero"/>
        <c:auto val="1"/>
        <c:lblAlgn val="ctr"/>
        <c:lblOffset val="100"/>
      </c:catAx>
      <c:valAx>
        <c:axId val="10129190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1289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846681515408191"/>
          <c:y val="0.89271355067721059"/>
          <c:w val="0.72320711903043988"/>
          <c:h val="5.5132195928296317E-2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24663703703703743"/>
                  <c:y val="1.905317390881698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Торговля
49,0%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Производство
23,4%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Сельское хозяйство
7,5%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Услуги по перевозке
1,1%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Транспорт
3,2%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Наука и инновации
2,1%</a:t>
                    </a:r>
                  </a:p>
                </c:rich>
              </c:tx>
              <c:showCatName val="1"/>
              <c:showPercent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Строительство
4,2%</a:t>
                    </a:r>
                  </a:p>
                </c:rich>
              </c:tx>
              <c:showCatName val="1"/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Прочее
5,3%</a:t>
                    </a:r>
                  </a:p>
                </c:rich>
              </c:tx>
              <c:showCatName val="1"/>
              <c:showPercent val="1"/>
            </c:dLbl>
            <c:dLbl>
              <c:idx val="8"/>
              <c:layout>
                <c:manualLayout>
                  <c:x val="0.1688703023233207"/>
                  <c:y val="1.06995884773662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Предоставление бытовых услуг
2,1%</a:t>
                    </a:r>
                  </a:p>
                </c:rich>
              </c:tx>
              <c:showCatName val="1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Недвижимость 
2,1%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Лист4!$A$1:$A$10</c:f>
              <c:strCache>
                <c:ptCount val="10"/>
                <c:pt idx="0">
                  <c:v> Торговля</c:v>
                </c:pt>
                <c:pt idx="1">
                  <c:v>Производство</c:v>
                </c:pt>
                <c:pt idx="2">
                  <c:v>Сельское хозяйство</c:v>
                </c:pt>
                <c:pt idx="3">
                  <c:v>Услуги по перевозке</c:v>
                </c:pt>
                <c:pt idx="4">
                  <c:v>Транспорт</c:v>
                </c:pt>
                <c:pt idx="5">
                  <c:v>Наука и инновации</c:v>
                </c:pt>
                <c:pt idx="6">
                  <c:v>Строительство</c:v>
                </c:pt>
                <c:pt idx="7">
                  <c:v>Прочее</c:v>
                </c:pt>
                <c:pt idx="8">
                  <c:v>Предоставление бытовых услуг</c:v>
                </c:pt>
                <c:pt idx="9">
                  <c:v>Недвижимость </c:v>
                </c:pt>
              </c:strCache>
            </c:strRef>
          </c:cat>
          <c:val>
            <c:numRef>
              <c:f>Лист4!$B$1:$B$10</c:f>
              <c:numCache>
                <c:formatCode>General</c:formatCode>
                <c:ptCount val="10"/>
                <c:pt idx="0" formatCode="0.0">
                  <c:v>49</c:v>
                </c:pt>
                <c:pt idx="1">
                  <c:v>23.4</c:v>
                </c:pt>
                <c:pt idx="2">
                  <c:v>7.5</c:v>
                </c:pt>
                <c:pt idx="3">
                  <c:v>1.1000000000000001</c:v>
                </c:pt>
                <c:pt idx="4">
                  <c:v>3.2</c:v>
                </c:pt>
                <c:pt idx="5">
                  <c:v>2.1</c:v>
                </c:pt>
                <c:pt idx="6">
                  <c:v>4.2</c:v>
                </c:pt>
                <c:pt idx="7">
                  <c:v>5.3</c:v>
                </c:pt>
                <c:pt idx="8">
                  <c:v>2.1</c:v>
                </c:pt>
                <c:pt idx="9">
                  <c:v>2.1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20260799752972081"/>
                  <c:y val="-8.860267156431754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Торговля
52%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696381812567547"/>
                  <c:y val="-0.2247435571794224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Услуги по перевозке
1%</a:t>
                    </a:r>
                  </a:p>
                </c:rich>
              </c:tx>
              <c:showCatName val="1"/>
              <c:showPercent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Строительство
4%</a:t>
                    </a:r>
                  </a:p>
                </c:rich>
              </c:tx>
              <c:showCatName val="1"/>
              <c:showPercent val="1"/>
            </c:dLbl>
            <c:dLbl>
              <c:idx val="7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ru-RU">
                        <a:solidFill>
                          <a:schemeClr val="bg1"/>
                        </a:solidFill>
                      </a:rPr>
                      <a:t>Прочее
9%</a:t>
                    </a:r>
                  </a:p>
                </c:rich>
              </c:tx>
              <c:spPr/>
              <c:showCatName val="1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Предоставление бытовых услуг
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Лист3!$A$1:$A$10</c:f>
              <c:strCache>
                <c:ptCount val="10"/>
                <c:pt idx="0">
                  <c:v>Торговля</c:v>
                </c:pt>
                <c:pt idx="1">
                  <c:v>Производство</c:v>
                </c:pt>
                <c:pt idx="2">
                  <c:v>Сельское хозяйство</c:v>
                </c:pt>
                <c:pt idx="3">
                  <c:v>Услуги по перевозке</c:v>
                </c:pt>
                <c:pt idx="4">
                  <c:v>Транспорт</c:v>
                </c:pt>
                <c:pt idx="5">
                  <c:v>Наука и инновации</c:v>
                </c:pt>
                <c:pt idx="6">
                  <c:v>Строительство</c:v>
                </c:pt>
                <c:pt idx="7">
                  <c:v>Прочее</c:v>
                </c:pt>
                <c:pt idx="8">
                  <c:v>Предоставление бытовых услуг</c:v>
                </c:pt>
                <c:pt idx="9">
                  <c:v>Недвижимость </c:v>
                </c:pt>
              </c:strCache>
            </c:strRef>
          </c:cat>
          <c:val>
            <c:numRef>
              <c:f>Лист3!$B$1:$B$10</c:f>
              <c:numCache>
                <c:formatCode>General</c:formatCode>
                <c:ptCount val="10"/>
                <c:pt idx="0">
                  <c:v>373.9</c:v>
                </c:pt>
                <c:pt idx="1">
                  <c:v>128.9</c:v>
                </c:pt>
                <c:pt idx="2">
                  <c:v>43.2</c:v>
                </c:pt>
                <c:pt idx="3" formatCode="0.0">
                  <c:v>1.6</c:v>
                </c:pt>
                <c:pt idx="4" formatCode="0.0">
                  <c:v>16</c:v>
                </c:pt>
                <c:pt idx="5">
                  <c:v>9.5</c:v>
                </c:pt>
                <c:pt idx="6" formatCode="0.0">
                  <c:v>35</c:v>
                </c:pt>
                <c:pt idx="7" formatCode="0.0">
                  <c:v>66.7</c:v>
                </c:pt>
                <c:pt idx="8" formatCode="0.0">
                  <c:v>2.1</c:v>
                </c:pt>
                <c:pt idx="9" formatCode="0.0">
                  <c:v>37.9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803871993065211"/>
          <c:y val="4.4764188649080813E-2"/>
          <c:w val="0.68504996508463967"/>
          <c:h val="0.92006394884092513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Лист2!$A$1:$A$12</c:f>
              <c:strCache>
                <c:ptCount val="12"/>
                <c:pt idx="0">
                  <c:v>Чулымский район </c:v>
                </c:pt>
                <c:pt idx="1">
                  <c:v>Усть-Таркский район</c:v>
                </c:pt>
                <c:pt idx="2">
                  <c:v>Сузунский район</c:v>
                </c:pt>
                <c:pt idx="3">
                  <c:v>Купинский район</c:v>
                </c:pt>
                <c:pt idx="4">
                  <c:v>Куйбышевский район</c:v>
                </c:pt>
                <c:pt idx="5">
                  <c:v>Краснозёрский район</c:v>
                </c:pt>
                <c:pt idx="6">
                  <c:v>Кочковский район</c:v>
                </c:pt>
                <c:pt idx="7">
                  <c:v>Коченёвский район</c:v>
                </c:pt>
                <c:pt idx="8">
                  <c:v>Искитимский район </c:v>
                </c:pt>
                <c:pt idx="9">
                  <c:v>Новосибирский район </c:v>
                </c:pt>
                <c:pt idx="10">
                  <c:v>Карасукский район </c:v>
                </c:pt>
                <c:pt idx="11">
                  <c:v>г. Бердск </c:v>
                </c:pt>
              </c:strCache>
            </c:strRef>
          </c:cat>
          <c:val>
            <c:numRef>
              <c:f>Лист2!$B$1:$B$12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</c:numCache>
            </c:numRef>
          </c:val>
        </c:ser>
        <c:dLbls>
          <c:showVal val="1"/>
        </c:dLbls>
        <c:overlap val="-25"/>
        <c:axId val="95028736"/>
        <c:axId val="95030272"/>
      </c:barChart>
      <c:catAx>
        <c:axId val="950287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030272"/>
        <c:crosses val="autoZero"/>
        <c:auto val="1"/>
        <c:lblAlgn val="ctr"/>
        <c:lblOffset val="100"/>
      </c:catAx>
      <c:valAx>
        <c:axId val="95030272"/>
        <c:scaling>
          <c:orientation val="minMax"/>
        </c:scaling>
        <c:delete val="1"/>
        <c:axPos val="b"/>
        <c:numFmt formatCode="General" sourceLinked="1"/>
        <c:tickLblPos val="nextTo"/>
        <c:crossAx val="9502873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CFB7-FA5D-4306-9CFB-7BA7B41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25</cp:revision>
  <cp:lastPrinted>2014-10-29T04:05:00Z</cp:lastPrinted>
  <dcterms:created xsi:type="dcterms:W3CDTF">2014-10-27T08:10:00Z</dcterms:created>
  <dcterms:modified xsi:type="dcterms:W3CDTF">2014-10-29T04:06:00Z</dcterms:modified>
</cp:coreProperties>
</file>